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86360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1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9"/>
          <w:szCs w:val="19"/>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quarterly period ended April 30, 2019</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66"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9"/>
          <w:szCs w:val="19"/>
          <w:color w:val="auto"/>
        </w:rPr>
      </w:pPr>
      <w:r>
        <w:rPr>
          <w:rFonts w:ascii="Arial" w:cs="Arial" w:eastAsia="Arial" w:hAnsi="Arial"/>
          <w:sz w:val="20"/>
          <w:szCs w:val="20"/>
          <w:b w:val="1"/>
          <w:bCs w:val="1"/>
          <w:color w:val="auto"/>
        </w:rPr>
        <w:t>TRANSITION REPORT PURSUANT TO SECTION 13 OR 15(d) OF THE SECURITIES EXCHANGE ACT OF 1934</w:t>
      </w:r>
    </w:p>
    <w:p>
      <w:pPr>
        <w:sectPr>
          <w:pgSz w:w="11900" w:h="16838" w:orient="portrait"/>
          <w:cols w:equalWidth="0" w:num="1">
            <w:col w:w="11420"/>
          </w:cols>
          <w:pgMar w:left="240" w:top="423" w:right="239" w:bottom="1440" w:gutter="0" w:footer="0" w:header="0"/>
        </w:sectPr>
      </w:pPr>
    </w:p>
    <w:p>
      <w:pPr>
        <w:spacing w:after="0" w:line="63" w:lineRule="exact"/>
        <w:rPr>
          <w:sz w:val="24"/>
          <w:szCs w:val="24"/>
          <w:color w:val="auto"/>
        </w:rPr>
      </w:pPr>
    </w:p>
    <w:p>
      <w:pPr>
        <w:ind w:left="310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TO</w:t>
      </w:r>
    </w:p>
    <w:p>
      <w:pPr>
        <w:spacing w:after="0" w:line="61" w:lineRule="exact"/>
        <w:rPr>
          <w:sz w:val="24"/>
          <w:szCs w:val="24"/>
          <w:color w:val="auto"/>
        </w:rPr>
      </w:pPr>
    </w:p>
    <w:p>
      <w:pPr>
        <w:sectPr>
          <w:pgSz w:w="11900" w:h="16838" w:orient="portrait"/>
          <w:cols w:equalWidth="0" w:num="2">
            <w:col w:w="6480" w:space="720"/>
            <w:col w:w="4220"/>
          </w:cols>
          <w:pgMar w:left="240" w:top="423"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001-38865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93980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20"/>
          </w:cols>
          <w:pgMar w:left="240" w:top="423" w:right="239" w:bottom="1440" w:gutter="0" w:footer="0" w:header="0"/>
          <w:type w:val="continuous"/>
        </w:sectPr>
      </w:pPr>
    </w:p>
    <w:p>
      <w:pPr>
        <w:spacing w:after="0" w:line="173"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Zoom Video Communications, Inc.</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73660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80" w:type="dxa"/>
            <w:vAlign w:val="bottom"/>
            <w:gridSpan w:val="3"/>
          </w:tcPr>
          <w:p>
            <w:pPr>
              <w:jc w:val="center"/>
              <w:ind w:left="1664"/>
              <w:spacing w:after="0"/>
              <w:rPr>
                <w:sz w:val="20"/>
                <w:szCs w:val="20"/>
                <w:color w:val="auto"/>
              </w:rPr>
            </w:pPr>
            <w:r>
              <w:rPr>
                <w:rFonts w:ascii="Arial" w:cs="Arial" w:eastAsia="Arial" w:hAnsi="Arial"/>
                <w:sz w:val="17"/>
                <w:szCs w:val="17"/>
                <w:b w:val="1"/>
                <w:bCs w:val="1"/>
                <w:color w:val="auto"/>
                <w:w w:val="93"/>
              </w:rPr>
              <w:t>Delaware</w:t>
            </w:r>
          </w:p>
        </w:tc>
        <w:tc>
          <w:tcPr>
            <w:tcW w:w="7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20" w:type="dxa"/>
            <w:vAlign w:val="bottom"/>
            <w:gridSpan w:val="4"/>
          </w:tcPr>
          <w:p>
            <w:pPr>
              <w:jc w:val="center"/>
              <w:ind w:right="586"/>
              <w:spacing w:after="0"/>
              <w:rPr>
                <w:sz w:val="20"/>
                <w:szCs w:val="20"/>
                <w:color w:val="auto"/>
              </w:rPr>
            </w:pPr>
            <w:r>
              <w:rPr>
                <w:rFonts w:ascii="Arial" w:cs="Arial" w:eastAsia="Arial" w:hAnsi="Arial"/>
                <w:sz w:val="17"/>
                <w:szCs w:val="17"/>
                <w:b w:val="1"/>
                <w:bCs w:val="1"/>
                <w:color w:val="auto"/>
                <w:w w:val="90"/>
              </w:rPr>
              <w:t>61-1648780</w:t>
            </w:r>
          </w:p>
        </w:tc>
        <w:tc>
          <w:tcPr>
            <w:tcW w:w="0" w:type="dxa"/>
            <w:vAlign w:val="bottom"/>
          </w:tcPr>
          <w:p>
            <w:pPr>
              <w:spacing w:after="0"/>
              <w:rPr>
                <w:sz w:val="1"/>
                <w:szCs w:val="1"/>
                <w:color w:val="auto"/>
              </w:rPr>
            </w:pPr>
          </w:p>
        </w:tc>
      </w:tr>
      <w:tr>
        <w:trPr>
          <w:trHeight w:val="149"/>
        </w:trPr>
        <w:tc>
          <w:tcPr>
            <w:tcW w:w="3880" w:type="dxa"/>
            <w:vAlign w:val="bottom"/>
            <w:gridSpan w:val="3"/>
          </w:tcPr>
          <w:p>
            <w:pPr>
              <w:jc w:val="center"/>
              <w:ind w:left="1664"/>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7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80" w:type="dxa"/>
            <w:vAlign w:val="bottom"/>
          </w:tcPr>
          <w:p>
            <w:pPr>
              <w:jc w:val="center"/>
              <w:ind w:right="1846"/>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880" w:type="dxa"/>
            <w:vAlign w:val="bottom"/>
            <w:gridSpan w:val="3"/>
          </w:tcPr>
          <w:p>
            <w:pPr>
              <w:jc w:val="center"/>
              <w:ind w:left="1664"/>
              <w:spacing w:after="0"/>
              <w:rPr>
                <w:sz w:val="20"/>
                <w:szCs w:val="20"/>
                <w:color w:val="auto"/>
              </w:rPr>
            </w:pPr>
            <w:r>
              <w:rPr>
                <w:rFonts w:ascii="Arial" w:cs="Arial" w:eastAsia="Arial" w:hAnsi="Arial"/>
                <w:sz w:val="14"/>
                <w:szCs w:val="14"/>
                <w:b w:val="1"/>
                <w:bCs w:val="1"/>
                <w:color w:val="auto"/>
                <w:w w:val="93"/>
              </w:rPr>
              <w:t>of incorporation or organization)</w:t>
            </w:r>
          </w:p>
        </w:tc>
        <w:tc>
          <w:tcPr>
            <w:tcW w:w="2480" w:type="dxa"/>
            <w:vAlign w:val="bottom"/>
            <w:gridSpan w:val="2"/>
            <w:vMerge w:val="restart"/>
          </w:tcPr>
          <w:p>
            <w:pPr>
              <w:jc w:val="center"/>
              <w:ind w:left="542"/>
              <w:spacing w:after="0"/>
              <w:rPr>
                <w:sz w:val="20"/>
                <w:szCs w:val="20"/>
                <w:color w:val="auto"/>
              </w:rPr>
            </w:pPr>
            <w:r>
              <w:rPr>
                <w:rFonts w:ascii="Arial" w:cs="Arial" w:eastAsia="Arial" w:hAnsi="Arial"/>
                <w:sz w:val="17"/>
                <w:szCs w:val="17"/>
                <w:b w:val="1"/>
                <w:bCs w:val="1"/>
                <w:color w:val="auto"/>
                <w:w w:val="91"/>
              </w:rPr>
              <w:t>55 Almaden Boulevard, 6</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80" w:type="dxa"/>
            <w:vAlign w:val="bottom"/>
          </w:tcPr>
          <w:p>
            <w:pPr>
              <w:jc w:val="center"/>
              <w:ind w:right="1846"/>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188"/>
        </w:trPr>
        <w:tc>
          <w:tcPr>
            <w:tcW w:w="3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140" w:type="dxa"/>
            <w:vAlign w:val="bottom"/>
            <w:vMerge w:val="restart"/>
          </w:tcPr>
          <w:p>
            <w:pPr>
              <w:spacing w:after="0"/>
              <w:rPr>
                <w:sz w:val="20"/>
                <w:szCs w:val="20"/>
                <w:color w:val="auto"/>
              </w:rPr>
            </w:pPr>
            <w:r>
              <w:rPr>
                <w:rFonts w:ascii="Arial" w:cs="Arial" w:eastAsia="Arial" w:hAnsi="Arial"/>
                <w:sz w:val="15"/>
                <w:szCs w:val="15"/>
                <w:b w:val="1"/>
                <w:bCs w:val="1"/>
                <w:color w:val="auto"/>
                <w:w w:val="84"/>
              </w:rPr>
              <w:t>th</w:t>
            </w:r>
          </w:p>
        </w:tc>
        <w:tc>
          <w:tcPr>
            <w:tcW w:w="4920" w:type="dxa"/>
            <w:vAlign w:val="bottom"/>
            <w:gridSpan w:val="4"/>
          </w:tcPr>
          <w:p>
            <w:pPr>
              <w:ind w:left="20"/>
              <w:spacing w:after="0" w:line="188" w:lineRule="exact"/>
              <w:rPr>
                <w:sz w:val="20"/>
                <w:szCs w:val="20"/>
                <w:color w:val="auto"/>
              </w:rPr>
            </w:pPr>
            <w:r>
              <w:rPr>
                <w:rFonts w:ascii="Arial" w:cs="Arial" w:eastAsia="Arial" w:hAnsi="Arial"/>
                <w:sz w:val="17"/>
                <w:szCs w:val="17"/>
                <w:b w:val="1"/>
                <w:bCs w:val="1"/>
                <w:color w:val="auto"/>
              </w:rPr>
              <w:t>Floor</w:t>
            </w:r>
          </w:p>
        </w:tc>
        <w:tc>
          <w:tcPr>
            <w:tcW w:w="0" w:type="dxa"/>
            <w:vAlign w:val="bottom"/>
          </w:tcPr>
          <w:p>
            <w:pPr>
              <w:spacing w:after="0"/>
              <w:rPr>
                <w:sz w:val="1"/>
                <w:szCs w:val="1"/>
                <w:color w:val="auto"/>
              </w:rPr>
            </w:pPr>
          </w:p>
        </w:tc>
      </w:tr>
      <w:tr>
        <w:trPr>
          <w:trHeight w:val="42"/>
        </w:trPr>
        <w:tc>
          <w:tcPr>
            <w:tcW w:w="3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40" w:type="dxa"/>
            <w:vAlign w:val="bottom"/>
            <w:gridSpan w:val="6"/>
          </w:tcPr>
          <w:p>
            <w:pPr>
              <w:jc w:val="center"/>
              <w:ind w:right="4486"/>
              <w:spacing w:after="0"/>
              <w:rPr>
                <w:sz w:val="20"/>
                <w:szCs w:val="20"/>
                <w:color w:val="auto"/>
              </w:rPr>
            </w:pPr>
            <w:r>
              <w:rPr>
                <w:rFonts w:ascii="Arial" w:cs="Arial" w:eastAsia="Arial" w:hAnsi="Arial"/>
                <w:sz w:val="17"/>
                <w:szCs w:val="17"/>
                <w:b w:val="1"/>
                <w:bCs w:val="1"/>
                <w:color w:val="auto"/>
                <w:w w:val="89"/>
              </w:rPr>
              <w:t>San Jose, California 95113</w:t>
            </w:r>
          </w:p>
        </w:tc>
        <w:tc>
          <w:tcPr>
            <w:tcW w:w="0" w:type="dxa"/>
            <w:vAlign w:val="bottom"/>
          </w:tcPr>
          <w:p>
            <w:pPr>
              <w:spacing w:after="0"/>
              <w:rPr>
                <w:sz w:val="1"/>
                <w:szCs w:val="1"/>
                <w:color w:val="auto"/>
              </w:rPr>
            </w:pPr>
          </w:p>
        </w:tc>
      </w:tr>
      <w:tr>
        <w:trPr>
          <w:trHeight w:val="182"/>
        </w:trPr>
        <w:tc>
          <w:tcPr>
            <w:tcW w:w="3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540" w:type="dxa"/>
            <w:vAlign w:val="bottom"/>
            <w:gridSpan w:val="7"/>
          </w:tcPr>
          <w:p>
            <w:pPr>
              <w:jc w:val="center"/>
              <w:ind w:right="3806"/>
              <w:spacing w:after="0"/>
              <w:rPr>
                <w:sz w:val="20"/>
                <w:szCs w:val="20"/>
                <w:color w:val="auto"/>
              </w:rPr>
            </w:pPr>
            <w:r>
              <w:rPr>
                <w:rFonts w:ascii="Arial" w:cs="Arial" w:eastAsia="Arial" w:hAnsi="Arial"/>
                <w:sz w:val="14"/>
                <w:szCs w:val="14"/>
                <w:b w:val="1"/>
                <w:bCs w:val="1"/>
                <w:i w:val="1"/>
                <w:iCs w:val="1"/>
                <w:color w:val="auto"/>
                <w:w w:val="88"/>
              </w:rPr>
              <w:t>(Address of principal executive offices and Zip Code)</w:t>
            </w:r>
          </w:p>
        </w:tc>
        <w:tc>
          <w:tcPr>
            <w:tcW w:w="0" w:type="dxa"/>
            <w:vAlign w:val="bottom"/>
          </w:tcPr>
          <w:p>
            <w:pPr>
              <w:spacing w:after="0"/>
              <w:rPr>
                <w:sz w:val="1"/>
                <w:szCs w:val="1"/>
                <w:color w:val="auto"/>
              </w:rPr>
            </w:pPr>
          </w:p>
        </w:tc>
      </w:tr>
      <w:tr>
        <w:trPr>
          <w:trHeight w:val="277"/>
        </w:trPr>
        <w:tc>
          <w:tcPr>
            <w:tcW w:w="3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80" w:type="dxa"/>
            <w:vAlign w:val="bottom"/>
            <w:gridSpan w:val="2"/>
          </w:tcPr>
          <w:p>
            <w:pPr>
              <w:jc w:val="center"/>
              <w:ind w:left="1102"/>
              <w:spacing w:after="0"/>
              <w:rPr>
                <w:sz w:val="20"/>
                <w:szCs w:val="20"/>
                <w:color w:val="auto"/>
              </w:rPr>
            </w:pPr>
            <w:r>
              <w:rPr>
                <w:rFonts w:ascii="Arial" w:cs="Arial" w:eastAsia="Arial" w:hAnsi="Arial"/>
                <w:sz w:val="17"/>
                <w:szCs w:val="17"/>
                <w:b w:val="1"/>
                <w:bCs w:val="1"/>
                <w:color w:val="auto"/>
                <w:w w:val="91"/>
              </w:rPr>
              <w:t>(888) 799-9666</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540" w:type="dxa"/>
            <w:vAlign w:val="bottom"/>
            <w:gridSpan w:val="7"/>
          </w:tcPr>
          <w:p>
            <w:pPr>
              <w:jc w:val="center"/>
              <w:ind w:right="3786"/>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c>
          <w:tcPr>
            <w:tcW w:w="0" w:type="dxa"/>
            <w:vAlign w:val="bottom"/>
          </w:tcPr>
          <w:p>
            <w:pPr>
              <w:spacing w:after="0"/>
              <w:rPr>
                <w:sz w:val="1"/>
                <w:szCs w:val="1"/>
                <w:color w:val="auto"/>
              </w:rPr>
            </w:pPr>
          </w:p>
        </w:tc>
      </w:tr>
      <w:tr>
        <w:trPr>
          <w:trHeight w:val="107"/>
        </w:trPr>
        <w:tc>
          <w:tcPr>
            <w:tcW w:w="3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80" w:type="dxa"/>
            <w:vAlign w:val="bottom"/>
            <w:tcBorders>
              <w:bottom w:val="single" w:sz="8" w:color="auto"/>
            </w:tcBorders>
            <w:gridSpan w:val="3"/>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3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40" w:type="dxa"/>
            <w:vAlign w:val="bottom"/>
            <w:gridSpan w:val="7"/>
          </w:tcPr>
          <w:p>
            <w:pPr>
              <w:jc w:val="center"/>
              <w:ind w:right="3786"/>
              <w:spacing w:after="0"/>
              <w:rPr>
                <w:sz w:val="20"/>
                <w:szCs w:val="20"/>
                <w:color w:val="auto"/>
              </w:rPr>
            </w:pPr>
            <w:r>
              <w:rPr>
                <w:rFonts w:ascii="Arial" w:cs="Arial" w:eastAsia="Arial" w:hAnsi="Arial"/>
                <w:sz w:val="15"/>
                <w:szCs w:val="15"/>
                <w:color w:val="auto"/>
                <w:w w:val="92"/>
              </w:rPr>
              <w:t>Securities registered pursuant to Section 12(b) of the Act:</w:t>
            </w:r>
          </w:p>
        </w:tc>
        <w:tc>
          <w:tcPr>
            <w:tcW w:w="0" w:type="dxa"/>
            <w:vAlign w:val="bottom"/>
          </w:tcPr>
          <w:p>
            <w:pPr>
              <w:spacing w:after="0"/>
              <w:rPr>
                <w:sz w:val="1"/>
                <w:szCs w:val="1"/>
                <w:color w:val="auto"/>
              </w:rPr>
            </w:pPr>
          </w:p>
        </w:tc>
      </w:tr>
      <w:tr>
        <w:trPr>
          <w:trHeight w:val="265"/>
        </w:trPr>
        <w:tc>
          <w:tcPr>
            <w:tcW w:w="3880" w:type="dxa"/>
            <w:vAlign w:val="bottom"/>
            <w:gridSpan w:val="3"/>
          </w:tcPr>
          <w:p>
            <w:pPr>
              <w:jc w:val="center"/>
              <w:ind w:right="820"/>
              <w:spacing w:after="0"/>
              <w:rPr>
                <w:sz w:val="20"/>
                <w:szCs w:val="20"/>
                <w:color w:val="auto"/>
              </w:rPr>
            </w:pPr>
            <w:r>
              <w:rPr>
                <w:rFonts w:ascii="Arial" w:cs="Arial" w:eastAsia="Arial" w:hAnsi="Arial"/>
                <w:sz w:val="15"/>
                <w:szCs w:val="15"/>
                <w:b w:val="1"/>
                <w:bCs w:val="1"/>
                <w:color w:val="auto"/>
                <w:w w:val="88"/>
              </w:rPr>
              <w:t>Title of each class</w:t>
            </w:r>
          </w:p>
        </w:tc>
        <w:tc>
          <w:tcPr>
            <w:tcW w:w="700" w:type="dxa"/>
            <w:vAlign w:val="bottom"/>
          </w:tcPr>
          <w:p>
            <w:pPr>
              <w:spacing w:after="0"/>
              <w:rPr>
                <w:sz w:val="23"/>
                <w:szCs w:val="23"/>
                <w:color w:val="auto"/>
              </w:rPr>
            </w:pPr>
          </w:p>
        </w:tc>
        <w:tc>
          <w:tcPr>
            <w:tcW w:w="1780" w:type="dxa"/>
            <w:vAlign w:val="bottom"/>
          </w:tcPr>
          <w:p>
            <w:pPr>
              <w:jc w:val="center"/>
              <w:ind w:right="40"/>
              <w:spacing w:after="0"/>
              <w:rPr>
                <w:sz w:val="20"/>
                <w:szCs w:val="20"/>
                <w:color w:val="auto"/>
              </w:rPr>
            </w:pPr>
            <w:r>
              <w:rPr>
                <w:rFonts w:ascii="Arial" w:cs="Arial" w:eastAsia="Arial" w:hAnsi="Arial"/>
                <w:sz w:val="15"/>
                <w:szCs w:val="15"/>
                <w:b w:val="1"/>
                <w:bCs w:val="1"/>
                <w:color w:val="auto"/>
                <w:w w:val="92"/>
              </w:rPr>
              <w:t>Trading Symbol(s)</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80" w:type="dxa"/>
            <w:vAlign w:val="bottom"/>
          </w:tcPr>
          <w:p>
            <w:pPr>
              <w:jc w:val="center"/>
              <w:spacing w:after="0"/>
              <w:rPr>
                <w:sz w:val="20"/>
                <w:szCs w:val="20"/>
                <w:color w:val="auto"/>
              </w:rPr>
            </w:pPr>
            <w:r>
              <w:rPr>
                <w:rFonts w:ascii="Arial" w:cs="Arial" w:eastAsia="Arial" w:hAnsi="Arial"/>
                <w:sz w:val="15"/>
                <w:szCs w:val="15"/>
                <w:b w:val="1"/>
                <w:bCs w:val="1"/>
                <w:color w:val="auto"/>
                <w:w w:val="89"/>
              </w:rPr>
              <w:t>Name of each exchange on which registered</w:t>
            </w:r>
          </w:p>
        </w:tc>
        <w:tc>
          <w:tcPr>
            <w:tcW w:w="0" w:type="dxa"/>
            <w:vAlign w:val="bottom"/>
          </w:tcPr>
          <w:p>
            <w:pPr>
              <w:spacing w:after="0"/>
              <w:rPr>
                <w:sz w:val="1"/>
                <w:szCs w:val="1"/>
                <w:color w:val="auto"/>
              </w:rPr>
            </w:pPr>
          </w:p>
        </w:tc>
      </w:tr>
      <w:tr>
        <w:trPr>
          <w:trHeight w:val="142"/>
        </w:trPr>
        <w:tc>
          <w:tcPr>
            <w:tcW w:w="30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5"/>
                <w:szCs w:val="15"/>
                <w:color w:val="auto"/>
                <w:w w:val="92"/>
              </w:rPr>
              <w:t>Class A Common Stock, $0.001 par value per</w:t>
            </w: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tcPr>
          <w:p>
            <w:pPr>
              <w:jc w:val="center"/>
              <w:ind w:right="40"/>
              <w:spacing w:after="0" w:line="142" w:lineRule="exact"/>
              <w:rPr>
                <w:sz w:val="20"/>
                <w:szCs w:val="20"/>
                <w:color w:val="auto"/>
              </w:rPr>
            </w:pPr>
            <w:r>
              <w:rPr>
                <w:rFonts w:ascii="Arial" w:cs="Arial" w:eastAsia="Arial" w:hAnsi="Arial"/>
                <w:sz w:val="15"/>
                <w:szCs w:val="15"/>
                <w:color w:val="auto"/>
              </w:rPr>
              <w:t>ZM</w:t>
            </w: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5"/>
                <w:szCs w:val="15"/>
                <w:color w:val="auto"/>
                <w:w w:val="92"/>
              </w:rPr>
              <w:t>The Nasdaq Global Select Market</w:t>
            </w:r>
          </w:p>
        </w:tc>
        <w:tc>
          <w:tcPr>
            <w:tcW w:w="0" w:type="dxa"/>
            <w:vAlign w:val="bottom"/>
          </w:tcPr>
          <w:p>
            <w:pPr>
              <w:spacing w:after="0"/>
              <w:rPr>
                <w:sz w:val="1"/>
                <w:szCs w:val="1"/>
                <w:color w:val="auto"/>
              </w:rPr>
            </w:pPr>
          </w:p>
        </w:tc>
      </w:tr>
      <w:tr>
        <w:trPr>
          <w:trHeight w:val="194"/>
        </w:trPr>
        <w:tc>
          <w:tcPr>
            <w:tcW w:w="3880" w:type="dxa"/>
            <w:vAlign w:val="bottom"/>
            <w:gridSpan w:val="3"/>
          </w:tcPr>
          <w:p>
            <w:pPr>
              <w:jc w:val="center"/>
              <w:ind w:right="800"/>
              <w:spacing w:after="0"/>
              <w:rPr>
                <w:sz w:val="20"/>
                <w:szCs w:val="20"/>
                <w:color w:val="auto"/>
              </w:rPr>
            </w:pPr>
            <w:r>
              <w:rPr>
                <w:rFonts w:ascii="Arial" w:cs="Arial" w:eastAsia="Arial" w:hAnsi="Arial"/>
                <w:sz w:val="15"/>
                <w:szCs w:val="15"/>
                <w:color w:val="auto"/>
                <w:w w:val="85"/>
              </w:rPr>
              <w:t>share</w:t>
            </w:r>
          </w:p>
        </w:tc>
        <w:tc>
          <w:tcPr>
            <w:tcW w:w="7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both"/>
        <w:ind w:right="20"/>
        <w:spacing w:after="0" w:line="184"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p>
      <w:pPr>
        <w:spacing w:after="0" w:line="24" w:lineRule="exact"/>
        <w:rPr>
          <w:sz w:val="24"/>
          <w:szCs w:val="24"/>
          <w:color w:val="auto"/>
        </w:rPr>
      </w:pPr>
    </w:p>
    <w:p>
      <w:pPr>
        <w:ind w:right="100"/>
        <w:spacing w:after="0" w:line="18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p>
      <w:pPr>
        <w:spacing w:after="0" w:line="24" w:lineRule="exact"/>
        <w:rPr>
          <w:sz w:val="24"/>
          <w:szCs w:val="24"/>
          <w:color w:val="auto"/>
        </w:rPr>
      </w:pPr>
    </w:p>
    <w:p>
      <w:pPr>
        <w:ind w:right="160"/>
        <w:spacing w:after="0" w:line="29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6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260"/>
              <w:spacing w:after="0"/>
              <w:rPr>
                <w:sz w:val="20"/>
                <w:szCs w:val="20"/>
                <w:color w:val="auto"/>
              </w:rPr>
            </w:pPr>
            <w:r>
              <w:rPr>
                <w:rFonts w:ascii="Arial" w:cs="Arial" w:eastAsia="Arial" w:hAnsi="Arial"/>
                <w:sz w:val="15"/>
                <w:szCs w:val="15"/>
                <w:color w:val="auto"/>
              </w:rPr>
              <w:t>Accelerated filer</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2000" w:type="dxa"/>
            <w:vAlign w:val="bottom"/>
          </w:tcPr>
          <w:p>
            <w:pPr>
              <w:spacing w:after="0"/>
              <w:rPr>
                <w:sz w:val="20"/>
                <w:szCs w:val="20"/>
                <w:color w:val="auto"/>
              </w:rPr>
            </w:pPr>
            <w:r>
              <w:rPr>
                <w:rFonts w:ascii="Arial" w:cs="Arial" w:eastAsia="Arial" w:hAnsi="Arial"/>
                <w:sz w:val="15"/>
                <w:szCs w:val="15"/>
                <w:color w:val="auto"/>
              </w:rPr>
              <w:t>Non-accelerated filer</w:t>
            </w:r>
          </w:p>
        </w:tc>
        <w:tc>
          <w:tcPr>
            <w:tcW w:w="36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260"/>
              <w:spacing w:after="0"/>
              <w:rPr>
                <w:sz w:val="20"/>
                <w:szCs w:val="20"/>
                <w:color w:val="auto"/>
              </w:rPr>
            </w:pPr>
            <w:r>
              <w:rPr>
                <w:rFonts w:ascii="Arial" w:cs="Arial" w:eastAsia="Arial" w:hAnsi="Arial"/>
                <w:sz w:val="15"/>
                <w:szCs w:val="15"/>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7"/>
        </w:trPr>
        <w:tc>
          <w:tcPr>
            <w:tcW w:w="200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68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pacing w:after="0" w:line="49" w:lineRule="exact"/>
        <w:rPr>
          <w:sz w:val="24"/>
          <w:szCs w:val="24"/>
          <w:color w:val="auto"/>
        </w:rPr>
      </w:pPr>
    </w:p>
    <w:p>
      <w:pPr>
        <w:jc w:val="both"/>
        <w:ind w:right="80"/>
        <w:spacing w:after="0" w:line="184"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 w:lineRule="exact"/>
        <w:rPr>
          <w:sz w:val="24"/>
          <w:szCs w:val="24"/>
          <w:color w:val="auto"/>
        </w:rPr>
      </w:pPr>
    </w:p>
    <w:p>
      <w:pPr>
        <w:spacing w:after="0" w:line="173" w:lineRule="exact"/>
        <w:tabs>
          <w:tab w:leader="none" w:pos="7080" w:val="left"/>
          <w:tab w:leader="none" w:pos="77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5"/>
          <w:szCs w:val="15"/>
          <w:color w:val="auto"/>
        </w:rPr>
        <w:tab/>
        <w:t xml:space="preserve">NO </w:t>
      </w:r>
      <w:r>
        <w:rPr>
          <w:rFonts w:ascii="MS PGothic" w:cs="MS PGothic" w:eastAsia="MS PGothic" w:hAnsi="MS PGothic"/>
          <w:sz w:val="14"/>
          <w:szCs w:val="14"/>
          <w:color w:val="auto"/>
        </w:rPr>
        <w:t>☒</w:t>
      </w:r>
    </w:p>
    <w:p>
      <w:pPr>
        <w:spacing w:after="0" w:line="76" w:lineRule="exact"/>
        <w:rPr>
          <w:sz w:val="24"/>
          <w:szCs w:val="24"/>
          <w:color w:val="auto"/>
        </w:rPr>
      </w:pPr>
    </w:p>
    <w:p>
      <w:pPr>
        <w:ind w:right="420"/>
        <w:spacing w:after="0" w:line="255" w:lineRule="auto"/>
        <w:rPr>
          <w:sz w:val="20"/>
          <w:szCs w:val="20"/>
          <w:color w:val="auto"/>
        </w:rPr>
      </w:pPr>
      <w:r>
        <w:rPr>
          <w:rFonts w:ascii="Arial" w:cs="Arial" w:eastAsia="Arial" w:hAnsi="Arial"/>
          <w:sz w:val="15"/>
          <w:szCs w:val="15"/>
          <w:color w:val="auto"/>
        </w:rPr>
        <w:t>As of May 31, 2019 the number of shares of the registrant’s Class A common stock outstanding was 32,144,001 and the number of shares of the registrant’s Class B common stock outstanding was 240,308,490.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474980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2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520" w:type="dxa"/>
            <w:vAlign w:val="bottom"/>
            <w:gridSpan w:val="10"/>
          </w:tcPr>
          <w:p>
            <w:pPr>
              <w:jc w:val="center"/>
              <w:ind w:right="2760"/>
              <w:spacing w:after="0"/>
              <w:rPr>
                <w:sz w:val="20"/>
                <w:szCs w:val="20"/>
                <w:color w:val="auto"/>
              </w:rPr>
            </w:pPr>
            <w:r>
              <w:rPr>
                <w:rFonts w:ascii="Arial" w:cs="Arial" w:eastAsia="Arial" w:hAnsi="Arial"/>
                <w:sz w:val="18"/>
                <w:szCs w:val="18"/>
                <w:b w:val="1"/>
                <w:bCs w:val="1"/>
                <w:color w:val="auto"/>
                <w:w w:val="90"/>
              </w:rPr>
              <w:t>Zoom Video Communications, Inc.</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20" w:type="dxa"/>
            <w:vAlign w:val="bottom"/>
            <w:gridSpan w:val="10"/>
          </w:tcPr>
          <w:p>
            <w:pPr>
              <w:jc w:val="center"/>
              <w:ind w:right="2780"/>
              <w:spacing w:after="0"/>
              <w:rPr>
                <w:sz w:val="20"/>
                <w:szCs w:val="20"/>
                <w:color w:val="auto"/>
              </w:rPr>
            </w:pPr>
            <w:r>
              <w:rPr>
                <w:rFonts w:ascii="Arial" w:cs="Arial" w:eastAsia="Arial" w:hAnsi="Arial"/>
                <w:sz w:val="18"/>
                <w:szCs w:val="18"/>
                <w:b w:val="1"/>
                <w:bCs w:val="1"/>
                <w:color w:val="auto"/>
                <w:w w:val="94"/>
              </w:rPr>
              <w:t>Quarterly Report on Form 10-Q</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20" w:type="dxa"/>
            <w:vAlign w:val="bottom"/>
            <w:gridSpan w:val="10"/>
          </w:tcPr>
          <w:p>
            <w:pPr>
              <w:jc w:val="center"/>
              <w:ind w:right="2780"/>
              <w:spacing w:after="0"/>
              <w:rPr>
                <w:sz w:val="20"/>
                <w:szCs w:val="20"/>
                <w:color w:val="auto"/>
              </w:rPr>
            </w:pPr>
            <w:r>
              <w:rPr>
                <w:rFonts w:ascii="Arial" w:cs="Arial" w:eastAsia="Arial" w:hAnsi="Arial"/>
                <w:sz w:val="18"/>
                <w:szCs w:val="18"/>
                <w:b w:val="1"/>
                <w:bCs w:val="1"/>
                <w:color w:val="auto"/>
                <w:w w:val="93"/>
              </w:rPr>
              <w:t>For the Quarterly Period Ended April 30, 2019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20" w:type="dxa"/>
            <w:vAlign w:val="bottom"/>
            <w:gridSpan w:val="10"/>
          </w:tcPr>
          <w:p>
            <w:pPr>
              <w:jc w:val="center"/>
              <w:ind w:right="2760"/>
              <w:spacing w:after="0"/>
              <w:rPr>
                <w:sz w:val="20"/>
                <w:szCs w:val="20"/>
                <w:color w:val="auto"/>
              </w:rPr>
            </w:pPr>
            <w:r>
              <w:rPr>
                <w:rFonts w:ascii="Arial" w:cs="Arial" w:eastAsia="Arial" w:hAnsi="Arial"/>
                <w:sz w:val="18"/>
                <w:szCs w:val="18"/>
                <w:b w:val="1"/>
                <w:bCs w:val="1"/>
                <w:color w:val="auto"/>
                <w:w w:val="98"/>
              </w:rPr>
              <w:t>TABLE OF CONTENTS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20" w:type="dxa"/>
            <w:vAlign w:val="bottom"/>
          </w:tcPr>
          <w:p>
            <w:pPr>
              <w:spacing w:after="0"/>
              <w:rPr>
                <w:sz w:val="24"/>
                <w:szCs w:val="24"/>
                <w:color w:val="auto"/>
              </w:rPr>
            </w:pPr>
          </w:p>
        </w:tc>
        <w:tc>
          <w:tcPr>
            <w:tcW w:w="2300" w:type="dxa"/>
            <w:vAlign w:val="bottom"/>
            <w:gridSpan w:val="8"/>
            <w:vMerge w:val="restart"/>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PART I – Financial Information</w:t>
              </w:r>
            </w:hyperlink>
          </w:p>
        </w:tc>
        <w:tc>
          <w:tcPr>
            <w:tcW w:w="7640" w:type="dxa"/>
            <w:vAlign w:val="bottom"/>
            <w:gridSpan w:val="12"/>
            <w:vMerge w:val="restart"/>
          </w:tcPr>
          <w:p>
            <w:pPr>
              <w:spacing w:after="0"/>
              <w:rPr>
                <w:sz w:val="24"/>
                <w:szCs w:val="24"/>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920" w:type="dxa"/>
            <w:vAlign w:val="bottom"/>
          </w:tcPr>
          <w:p>
            <w:pPr>
              <w:spacing w:after="0"/>
              <w:rPr>
                <w:sz w:val="14"/>
                <w:szCs w:val="14"/>
                <w:color w:val="auto"/>
              </w:rPr>
            </w:pPr>
          </w:p>
        </w:tc>
        <w:tc>
          <w:tcPr>
            <w:tcW w:w="2300" w:type="dxa"/>
            <w:vAlign w:val="bottom"/>
            <w:tcBorders>
              <w:bottom w:val="single" w:sz="8" w:color="0000EE"/>
            </w:tcBorders>
            <w:gridSpan w:val="8"/>
            <w:vMerge w:val="continue"/>
          </w:tcPr>
          <w:p>
            <w:pPr>
              <w:spacing w:after="0"/>
              <w:rPr>
                <w:sz w:val="14"/>
                <w:szCs w:val="14"/>
                <w:color w:val="auto"/>
              </w:rPr>
            </w:pPr>
          </w:p>
        </w:tc>
        <w:tc>
          <w:tcPr>
            <w:tcW w:w="7640" w:type="dxa"/>
            <w:vAlign w:val="bottom"/>
            <w:gridSpan w:val="12"/>
            <w:vMerge w:val="continue"/>
          </w:tcPr>
          <w:p>
            <w:pPr>
              <w:spacing w:after="0"/>
              <w:rPr>
                <w:sz w:val="14"/>
                <w:szCs w:val="14"/>
                <w:color w:val="auto"/>
              </w:rPr>
            </w:pPr>
          </w:p>
        </w:tc>
        <w:tc>
          <w:tcPr>
            <w:tcW w:w="560" w:type="dxa"/>
            <w:vAlign w:val="bottom"/>
          </w:tcPr>
          <w:p>
            <w:pPr>
              <w:jc w:val="right"/>
              <w:spacing w:after="0" w:line="170"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94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60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Balance Sheets as of April 30, 2019 and January 31, 2019</w:t>
              </w:r>
            </w:hyperlink>
          </w:p>
        </w:tc>
        <w:tc>
          <w:tcPr>
            <w:tcW w:w="3920" w:type="dxa"/>
            <w:vAlign w:val="bottom"/>
            <w:gridSpan w:val="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5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Operations for the Three Months Ended April 30, 2019 and 2018</w:t>
              </w:r>
            </w:hyperlink>
          </w:p>
        </w:tc>
        <w:tc>
          <w:tcPr>
            <w:tcW w:w="238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940" w:type="dxa"/>
            <w:vAlign w:val="bottom"/>
            <w:gridSpan w:val="20"/>
          </w:tcPr>
          <w:p>
            <w:pPr>
              <w:spacing w:after="0" w:line="19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Comprehensive Income (Loss) for the Three Months Ended April 30, 2019 and 2018</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5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Condensed Consolidated Statements of Convertible Preferred Stock and Stockholders’ Equity (Deficit) for the Three Months Ended</w:t>
              </w:r>
            </w:hyperlink>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7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April 30, 2019 and 2018</w:t>
              </w:r>
            </w:hyperlink>
          </w:p>
        </w:tc>
        <w:tc>
          <w:tcPr>
            <w:tcW w:w="8160" w:type="dxa"/>
            <w:vAlign w:val="bottom"/>
            <w:gridSpan w:val="1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6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Condensed Consolidated Statements of Cash Flows for the Three Months Ended April 30, 2019 and 2018</w:t>
              </w:r>
            </w:hyperlink>
          </w:p>
        </w:tc>
        <w:tc>
          <w:tcPr>
            <w:tcW w:w="232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940" w:type="dxa"/>
            <w:vAlign w:val="bottom"/>
            <w:gridSpan w:val="2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940" w:type="dxa"/>
            <w:vAlign w:val="bottom"/>
            <w:gridSpan w:val="2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480" w:type="dxa"/>
            <w:vAlign w:val="bottom"/>
            <w:gridSpan w:val="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Controls and Procedures</w:t>
              </w:r>
            </w:hyperlink>
          </w:p>
        </w:tc>
        <w:tc>
          <w:tcPr>
            <w:tcW w:w="8160" w:type="dxa"/>
            <w:vAlign w:val="bottom"/>
            <w:gridSpan w:val="1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4"/>
                <w:szCs w:val="24"/>
                <w:color w:val="auto"/>
              </w:rPr>
            </w:pPr>
          </w:p>
        </w:tc>
        <w:tc>
          <w:tcPr>
            <w:tcW w:w="210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30">
              <w:r>
                <w:rPr>
                  <w:rFonts w:ascii="Arial" w:cs="Arial" w:eastAsia="Arial" w:hAnsi="Arial"/>
                  <w:sz w:val="18"/>
                  <w:szCs w:val="18"/>
                  <w:color w:val="0000EE"/>
                  <w:w w:val="93"/>
                </w:rPr>
                <w:t>PART II – Other Information</w:t>
              </w:r>
            </w:hyperlink>
          </w:p>
        </w:tc>
        <w:tc>
          <w:tcPr>
            <w:tcW w:w="784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94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7"/>
                <w:szCs w:val="17"/>
                <w:color w:val="auto"/>
              </w:rPr>
            </w:pPr>
          </w:p>
        </w:tc>
        <w:tc>
          <w:tcPr>
            <w:tcW w:w="8600" w:type="dxa"/>
            <w:vAlign w:val="bottom"/>
            <w:gridSpan w:val="1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Unregistered Sales of Equity Securities and Use of Proceeds</w:t>
              </w:r>
            </w:hyperlink>
          </w:p>
        </w:tc>
        <w:tc>
          <w:tcPr>
            <w:tcW w:w="5580" w:type="dxa"/>
            <w:vAlign w:val="bottom"/>
            <w:gridSpan w:val="8"/>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Defaults Upon Senior Securities</w:t>
              </w:r>
            </w:hyperlink>
          </w:p>
        </w:tc>
        <w:tc>
          <w:tcPr>
            <w:tcW w:w="7600" w:type="dxa"/>
            <w:vAlign w:val="bottom"/>
            <w:gridSpan w:val="11"/>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Mine Safety Disclosures</w:t>
              </w:r>
            </w:hyperlink>
          </w:p>
        </w:tc>
        <w:tc>
          <w:tcPr>
            <w:tcW w:w="8160" w:type="dxa"/>
            <w:vAlign w:val="bottom"/>
            <w:gridSpan w:val="1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9940" w:type="dxa"/>
            <w:vAlign w:val="bottom"/>
            <w:gridSpan w:val="2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Other Information</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Exhibits</w:t>
              </w:r>
            </w:hyperlink>
          </w:p>
        </w:tc>
        <w:tc>
          <w:tcPr>
            <w:tcW w:w="8620" w:type="dxa"/>
            <w:vAlign w:val="bottom"/>
            <w:gridSpan w:val="1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180" w:type="dxa"/>
            <w:vAlign w:val="bottom"/>
            <w:gridSpan w:val="1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940" w:type="dxa"/>
            <w:vAlign w:val="bottom"/>
            <w:gridSpan w:val="20"/>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Signatures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40" w:firstLine="518"/>
        <w:spacing w:after="0" w:line="287"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and Section 21E of the Securities Exchange Act of 1934, as amended, which statements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including our statements regarding the benefits and timing of the roll-out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Quarterly Report on Form 10-Q include, but are not limited to, statements about: our future financial performance, including our revenue, cost of revenue, gross profit, margins and operating expenses; trends in our key business metrics; the sufficiency of our cash and cash equivalents, investments and cash provided by sales of our products and services to meet our liquidity needs; our ability to become the ubiquitous platform for communications; our ability to attract new customers and retain existing customers; our ability to successfully expand into our existing markets and into new markets; our ability to effectively manage our growth and future expenses; and the impact of recent accounting pronouncements on our financial statements.</w:t>
      </w:r>
    </w:p>
    <w:p>
      <w:pPr>
        <w:spacing w:after="0" w:line="169"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79"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54"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93"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with the SEC as exhibits to this Quarterly Report on Form 10-Q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163"/>
              <w:spacing w:after="0"/>
              <w:rPr>
                <w:sz w:val="20"/>
                <w:szCs w:val="20"/>
                <w:color w:val="auto"/>
              </w:rPr>
            </w:pPr>
            <w:r>
              <w:rPr>
                <w:rFonts w:ascii="Arial" w:cs="Arial" w:eastAsia="Arial" w:hAnsi="Arial"/>
                <w:sz w:val="14"/>
                <w:szCs w:val="14"/>
                <w:b w:val="1"/>
                <w:bCs w:val="1"/>
                <w:color w:val="auto"/>
              </w:rPr>
              <w:t>As of</w:t>
            </w:r>
          </w:p>
        </w:tc>
        <w:tc>
          <w:tcPr>
            <w:tcW w:w="1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April 30,</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jc w:val="right"/>
              <w:ind w:right="364"/>
              <w:spacing w:after="0" w:line="133" w:lineRule="exact"/>
              <w:rPr>
                <w:sz w:val="20"/>
                <w:szCs w:val="20"/>
                <w:color w:val="auto"/>
              </w:rPr>
            </w:pPr>
            <w:r>
              <w:rPr>
                <w:rFonts w:ascii="Arial" w:cs="Arial" w:eastAsia="Arial" w:hAnsi="Arial"/>
                <w:sz w:val="14"/>
                <w:szCs w:val="14"/>
                <w:b w:val="1"/>
                <w:bCs w:val="1"/>
                <w:color w:val="auto"/>
              </w:rPr>
              <w:t>January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2160" w:type="dxa"/>
            <w:vAlign w:val="bottom"/>
            <w:gridSpan w:val="2"/>
          </w:tcPr>
          <w:p>
            <w:pPr>
              <w:jc w:val="right"/>
              <w:ind w:right="66"/>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ind w:right="58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4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Assets</w:t>
            </w:r>
          </w:p>
        </w:tc>
        <w:tc>
          <w:tcPr>
            <w:tcW w:w="1100" w:type="dxa"/>
            <w:vAlign w:val="bottom"/>
            <w:tcBorders>
              <w:top w:val="single" w:sz="8" w:color="CFF0FC"/>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40" w:type="dxa"/>
            <w:vAlign w:val="bottom"/>
          </w:tcPr>
          <w:p>
            <w:pPr>
              <w:spacing w:after="0"/>
              <w:rPr>
                <w:sz w:val="20"/>
                <w:szCs w:val="20"/>
                <w:color w:val="auto"/>
              </w:rPr>
            </w:pPr>
            <w:r>
              <w:rPr>
                <w:rFonts w:ascii="Arial" w:cs="Arial" w:eastAsia="Arial" w:hAnsi="Arial"/>
                <w:sz w:val="15"/>
                <w:szCs w:val="15"/>
                <w:color w:val="auto"/>
              </w:rPr>
              <w:t>Current assets:</w:t>
            </w: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and cash equivalents</w:t>
            </w:r>
          </w:p>
        </w:tc>
        <w:tc>
          <w:tcPr>
            <w:tcW w:w="2160" w:type="dxa"/>
            <w:vAlign w:val="bottom"/>
            <w:gridSpan w:val="2"/>
            <w:shd w:val="clear" w:color="auto" w:fill="CFF0FC"/>
          </w:tcPr>
          <w:p>
            <w:pPr>
              <w:jc w:val="right"/>
              <w:ind w:right="906"/>
              <w:spacing w:after="0"/>
              <w:rPr>
                <w:sz w:val="20"/>
                <w:szCs w:val="20"/>
                <w:color w:val="auto"/>
              </w:rPr>
            </w:pPr>
            <w:r>
              <w:rPr>
                <w:rFonts w:ascii="Arial" w:cs="Arial" w:eastAsia="Arial" w:hAnsi="Arial"/>
                <w:sz w:val="15"/>
                <w:szCs w:val="15"/>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8"/>
              </w:rPr>
              <w:t>629,793</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63,624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tcPr>
          <w:p>
            <w:pPr>
              <w:ind w:left="260"/>
              <w:spacing w:after="0"/>
              <w:rPr>
                <w:sz w:val="20"/>
                <w:szCs w:val="20"/>
                <w:color w:val="auto"/>
              </w:rPr>
            </w:pPr>
            <w:r>
              <w:rPr>
                <w:rFonts w:ascii="Arial" w:cs="Arial" w:eastAsia="Arial" w:hAnsi="Arial"/>
                <w:sz w:val="15"/>
                <w:szCs w:val="15"/>
                <w:color w:val="auto"/>
              </w:rPr>
              <w:t>Marketable securities</w:t>
            </w: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w w:val="88"/>
              </w:rPr>
              <w:t>107,389</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112,777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74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Accounts receivable, net of allowances of $2,502 and $2,071 as of April 30,</w:t>
            </w:r>
          </w:p>
        </w:tc>
        <w:tc>
          <w:tcPr>
            <w:tcW w:w="1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7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2019 and January 31, 2019, respectively</w:t>
            </w:r>
          </w:p>
        </w:tc>
        <w:tc>
          <w:tcPr>
            <w:tcW w:w="1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78,888</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63,613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tcPr>
          <w:p>
            <w:pPr>
              <w:ind w:left="260"/>
              <w:spacing w:after="0"/>
              <w:rPr>
                <w:sz w:val="20"/>
                <w:szCs w:val="20"/>
                <w:color w:val="auto"/>
              </w:rPr>
            </w:pPr>
            <w:r>
              <w:rPr>
                <w:rFonts w:ascii="Arial" w:cs="Arial" w:eastAsia="Arial" w:hAnsi="Arial"/>
                <w:sz w:val="15"/>
                <w:szCs w:val="15"/>
                <w:color w:val="auto"/>
              </w:rPr>
              <w:t>Deferred contract acquisition costs, current</w:t>
            </w: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30,339</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26,453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Prepaid expenses and other current assets</w:t>
            </w:r>
          </w:p>
        </w:tc>
        <w:tc>
          <w:tcPr>
            <w:tcW w:w="1100" w:type="dxa"/>
            <w:vAlign w:val="bottom"/>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19,931</w:t>
            </w:r>
          </w:p>
        </w:tc>
        <w:tc>
          <w:tcPr>
            <w:tcW w:w="28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10,252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40" w:type="dxa"/>
            <w:vAlign w:val="bottom"/>
          </w:tcPr>
          <w:p>
            <w:pPr>
              <w:ind w:left="500"/>
              <w:spacing w:after="0" w:line="169" w:lineRule="exact"/>
              <w:rPr>
                <w:sz w:val="20"/>
                <w:szCs w:val="20"/>
                <w:color w:val="auto"/>
              </w:rPr>
            </w:pPr>
            <w:r>
              <w:rPr>
                <w:rFonts w:ascii="Arial" w:cs="Arial" w:eastAsia="Arial" w:hAnsi="Arial"/>
                <w:sz w:val="15"/>
                <w:szCs w:val="15"/>
                <w:color w:val="auto"/>
              </w:rPr>
              <w:t>Total current assets</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5"/>
                <w:szCs w:val="15"/>
                <w:color w:val="auto"/>
                <w:w w:val="88"/>
              </w:rPr>
              <w:t>866,340</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spacing w:after="0" w:line="169" w:lineRule="exact"/>
              <w:rPr>
                <w:sz w:val="20"/>
                <w:szCs w:val="20"/>
                <w:color w:val="auto"/>
              </w:rPr>
            </w:pPr>
            <w:r>
              <w:rPr>
                <w:rFonts w:ascii="Arial" w:cs="Arial" w:eastAsia="Arial" w:hAnsi="Arial"/>
                <w:sz w:val="15"/>
                <w:szCs w:val="15"/>
                <w:color w:val="auto"/>
              </w:rPr>
              <w:t>276,719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40" w:type="dxa"/>
            <w:vAlign w:val="bottom"/>
            <w:shd w:val="clear" w:color="auto" w:fill="CFF0FC"/>
          </w:tcPr>
          <w:p>
            <w:pPr>
              <w:spacing w:after="0"/>
              <w:rPr>
                <w:sz w:val="20"/>
                <w:szCs w:val="20"/>
                <w:color w:val="auto"/>
              </w:rPr>
            </w:pPr>
            <w:r>
              <w:rPr>
                <w:rFonts w:ascii="Arial" w:cs="Arial" w:eastAsia="Arial" w:hAnsi="Arial"/>
                <w:sz w:val="15"/>
                <w:szCs w:val="15"/>
                <w:color w:val="auto"/>
              </w:rPr>
              <w:t>Deferred contract acquisition costs, non-current</w:t>
            </w:r>
          </w:p>
        </w:tc>
        <w:tc>
          <w:tcPr>
            <w:tcW w:w="1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32,192</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29,063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tcPr>
          <w:p>
            <w:pPr>
              <w:spacing w:after="0"/>
              <w:rPr>
                <w:sz w:val="20"/>
                <w:szCs w:val="20"/>
                <w:color w:val="auto"/>
              </w:rPr>
            </w:pPr>
            <w:r>
              <w:rPr>
                <w:rFonts w:ascii="Arial" w:cs="Arial" w:eastAsia="Arial" w:hAnsi="Arial"/>
                <w:sz w:val="15"/>
                <w:szCs w:val="15"/>
                <w:color w:val="auto"/>
              </w:rPr>
              <w:t>Property and equipment, net</w:t>
            </w: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41,724</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37,275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shd w:val="clear" w:color="auto" w:fill="CFF0FC"/>
          </w:tcPr>
          <w:p>
            <w:pPr>
              <w:spacing w:after="0"/>
              <w:rPr>
                <w:sz w:val="20"/>
                <w:szCs w:val="20"/>
                <w:color w:val="auto"/>
              </w:rPr>
            </w:pPr>
            <w:r>
              <w:rPr>
                <w:rFonts w:ascii="Arial" w:cs="Arial" w:eastAsia="Arial" w:hAnsi="Arial"/>
                <w:sz w:val="15"/>
                <w:szCs w:val="15"/>
                <w:color w:val="auto"/>
              </w:rPr>
              <w:t>Operating lease right-of-use assets</w:t>
            </w:r>
          </w:p>
        </w:tc>
        <w:tc>
          <w:tcPr>
            <w:tcW w:w="1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48,957</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74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Other assets, non-current</w:t>
            </w:r>
          </w:p>
        </w:tc>
        <w:tc>
          <w:tcPr>
            <w:tcW w:w="11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9,839</w:t>
            </w:r>
          </w:p>
        </w:tc>
        <w:tc>
          <w:tcPr>
            <w:tcW w:w="2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11,508</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assets</w:t>
            </w:r>
          </w:p>
        </w:tc>
        <w:tc>
          <w:tcPr>
            <w:tcW w:w="2160" w:type="dxa"/>
            <w:vAlign w:val="bottom"/>
            <w:gridSpan w:val="2"/>
            <w:shd w:val="clear" w:color="auto" w:fill="CFF0FC"/>
          </w:tcPr>
          <w:p>
            <w:pPr>
              <w:jc w:val="right"/>
              <w:ind w:right="906"/>
              <w:spacing w:after="0" w:line="169" w:lineRule="exact"/>
              <w:rPr>
                <w:sz w:val="20"/>
                <w:szCs w:val="20"/>
                <w:color w:val="auto"/>
              </w:rPr>
            </w:pPr>
            <w:r>
              <w:rPr>
                <w:rFonts w:ascii="Arial" w:cs="Arial" w:eastAsia="Arial" w:hAnsi="Arial"/>
                <w:sz w:val="15"/>
                <w:szCs w:val="15"/>
                <w:color w:val="auto"/>
              </w:rPr>
              <w:t>$</w:t>
            </w:r>
          </w:p>
        </w:tc>
        <w:tc>
          <w:tcPr>
            <w:tcW w:w="5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88"/>
              </w:rPr>
              <w:t>999,052</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3"/>
              <w:spacing w:after="0" w:line="169" w:lineRule="exact"/>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354,565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b w:val="1"/>
                <w:bCs w:val="1"/>
                <w:color w:val="auto"/>
              </w:rPr>
              <w:t>Liabilities, convertible preferred stock, and stockholders’ equity (deficit)</w:t>
            </w:r>
          </w:p>
        </w:tc>
        <w:tc>
          <w:tcPr>
            <w:tcW w:w="1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4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740" w:type="dxa"/>
            <w:vAlign w:val="bottom"/>
            <w:shd w:val="clear" w:color="auto" w:fill="CFF0FC"/>
          </w:tcPr>
          <w:p>
            <w:pPr>
              <w:spacing w:after="0"/>
              <w:rPr>
                <w:sz w:val="20"/>
                <w:szCs w:val="20"/>
                <w:color w:val="auto"/>
              </w:rPr>
            </w:pPr>
            <w:r>
              <w:rPr>
                <w:rFonts w:ascii="Arial" w:cs="Arial" w:eastAsia="Arial" w:hAnsi="Arial"/>
                <w:sz w:val="15"/>
                <w:szCs w:val="15"/>
                <w:color w:val="auto"/>
              </w:rPr>
              <w:t>Current liabilities:</w:t>
            </w:r>
          </w:p>
        </w:tc>
        <w:tc>
          <w:tcPr>
            <w:tcW w:w="1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tcPr>
          <w:p>
            <w:pPr>
              <w:ind w:left="260"/>
              <w:spacing w:after="0"/>
              <w:rPr>
                <w:sz w:val="20"/>
                <w:szCs w:val="20"/>
                <w:color w:val="auto"/>
              </w:rPr>
            </w:pPr>
            <w:r>
              <w:rPr>
                <w:rFonts w:ascii="Arial" w:cs="Arial" w:eastAsia="Arial" w:hAnsi="Arial"/>
                <w:sz w:val="15"/>
                <w:szCs w:val="15"/>
                <w:color w:val="auto"/>
              </w:rPr>
              <w:t>Accounts payable</w:t>
            </w:r>
          </w:p>
        </w:tc>
        <w:tc>
          <w:tcPr>
            <w:tcW w:w="2160" w:type="dxa"/>
            <w:vAlign w:val="bottom"/>
            <w:gridSpan w:val="2"/>
          </w:tcPr>
          <w:p>
            <w:pPr>
              <w:jc w:val="right"/>
              <w:ind w:right="906"/>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9,678</w:t>
            </w:r>
          </w:p>
        </w:tc>
        <w:tc>
          <w:tcPr>
            <w:tcW w:w="280" w:type="dxa"/>
            <w:vAlign w:val="bottom"/>
          </w:tcPr>
          <w:p>
            <w:pPr>
              <w:spacing w:after="0"/>
              <w:rPr>
                <w:sz w:val="15"/>
                <w:szCs w:val="15"/>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4,963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Accrued expenses and other current liabilities</w:t>
            </w:r>
          </w:p>
        </w:tc>
        <w:tc>
          <w:tcPr>
            <w:tcW w:w="1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47,410</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32,256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Deferred revenue, current</w:t>
            </w:r>
          </w:p>
        </w:tc>
        <w:tc>
          <w:tcPr>
            <w:tcW w:w="11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8"/>
              </w:rPr>
              <w:t>137,337</w:t>
            </w:r>
          </w:p>
        </w:tc>
        <w:tc>
          <w:tcPr>
            <w:tcW w:w="2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115,122</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4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current liabilities</w:t>
            </w:r>
          </w:p>
        </w:tc>
        <w:tc>
          <w:tcPr>
            <w:tcW w:w="1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88"/>
              </w:rPr>
              <w:t>194,425</w:t>
            </w: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152,341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40" w:type="dxa"/>
            <w:vAlign w:val="bottom"/>
          </w:tcPr>
          <w:p>
            <w:pPr>
              <w:spacing w:after="0"/>
              <w:rPr>
                <w:sz w:val="20"/>
                <w:szCs w:val="20"/>
                <w:color w:val="auto"/>
              </w:rPr>
            </w:pPr>
            <w:r>
              <w:rPr>
                <w:rFonts w:ascii="Arial" w:cs="Arial" w:eastAsia="Arial" w:hAnsi="Arial"/>
                <w:sz w:val="15"/>
                <w:szCs w:val="15"/>
                <w:color w:val="auto"/>
              </w:rPr>
              <w:t>Deferred revenue, non-current</w:t>
            </w: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11,993</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10,651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shd w:val="clear" w:color="auto" w:fill="CFF0FC"/>
          </w:tcPr>
          <w:p>
            <w:pPr>
              <w:spacing w:after="0"/>
              <w:rPr>
                <w:sz w:val="20"/>
                <w:szCs w:val="20"/>
                <w:color w:val="auto"/>
              </w:rPr>
            </w:pPr>
            <w:r>
              <w:rPr>
                <w:rFonts w:ascii="Arial" w:cs="Arial" w:eastAsia="Arial" w:hAnsi="Arial"/>
                <w:sz w:val="15"/>
                <w:szCs w:val="15"/>
                <w:color w:val="auto"/>
              </w:rPr>
              <w:t>Operating lease liabilities, non-current</w:t>
            </w:r>
          </w:p>
        </w:tc>
        <w:tc>
          <w:tcPr>
            <w:tcW w:w="1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46,056</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74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Other liabilities, non-current</w:t>
            </w:r>
          </w:p>
        </w:tc>
        <w:tc>
          <w:tcPr>
            <w:tcW w:w="11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26,850</w:t>
            </w:r>
          </w:p>
        </w:tc>
        <w:tc>
          <w:tcPr>
            <w:tcW w:w="2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39,460</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7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liabilities</w:t>
            </w:r>
          </w:p>
        </w:tc>
        <w:tc>
          <w:tcPr>
            <w:tcW w:w="1100" w:type="dxa"/>
            <w:vAlign w:val="bottom"/>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88"/>
              </w:rPr>
              <w:t>279,324</w:t>
            </w:r>
          </w:p>
        </w:tc>
        <w:tc>
          <w:tcPr>
            <w:tcW w:w="28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202,452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40" w:type="dxa"/>
            <w:vAlign w:val="bottom"/>
          </w:tcPr>
          <w:p>
            <w:pPr>
              <w:spacing w:after="0" w:line="169" w:lineRule="exact"/>
              <w:rPr>
                <w:sz w:val="20"/>
                <w:szCs w:val="20"/>
                <w:color w:val="auto"/>
              </w:rPr>
            </w:pPr>
            <w:r>
              <w:rPr>
                <w:rFonts w:ascii="Arial" w:cs="Arial" w:eastAsia="Arial" w:hAnsi="Arial"/>
                <w:sz w:val="15"/>
                <w:szCs w:val="15"/>
                <w:color w:val="auto"/>
              </w:rPr>
              <w:t>Commitments and contingencies (Note 7)</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4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Convertible preferred stock, $0.001 par value per share, zero and 158,104,540 shares</w:t>
            </w:r>
          </w:p>
        </w:tc>
        <w:tc>
          <w:tcPr>
            <w:tcW w:w="1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40" w:type="dxa"/>
            <w:vAlign w:val="bottom"/>
            <w:shd w:val="clear" w:color="auto" w:fill="CFF0FC"/>
          </w:tcPr>
          <w:p>
            <w:pPr>
              <w:ind w:left="360"/>
              <w:spacing w:after="0" w:line="162" w:lineRule="exact"/>
              <w:rPr>
                <w:sz w:val="20"/>
                <w:szCs w:val="20"/>
                <w:color w:val="auto"/>
              </w:rPr>
            </w:pPr>
            <w:r>
              <w:rPr>
                <w:rFonts w:ascii="Arial" w:cs="Arial" w:eastAsia="Arial" w:hAnsi="Arial"/>
                <w:sz w:val="15"/>
                <w:szCs w:val="15"/>
                <w:color w:val="auto"/>
              </w:rPr>
              <w:t>authorized as of April 30, 2019 and January 31, 2019, respectively; zero and</w:t>
            </w:r>
          </w:p>
        </w:tc>
        <w:tc>
          <w:tcPr>
            <w:tcW w:w="1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40" w:type="dxa"/>
            <w:vAlign w:val="bottom"/>
            <w:shd w:val="clear" w:color="auto" w:fill="CFF0FC"/>
          </w:tcPr>
          <w:p>
            <w:pPr>
              <w:ind w:left="360"/>
              <w:spacing w:after="0" w:line="162" w:lineRule="exact"/>
              <w:rPr>
                <w:sz w:val="20"/>
                <w:szCs w:val="20"/>
                <w:color w:val="auto"/>
              </w:rPr>
            </w:pPr>
            <w:r>
              <w:rPr>
                <w:rFonts w:ascii="Arial" w:cs="Arial" w:eastAsia="Arial" w:hAnsi="Arial"/>
                <w:sz w:val="15"/>
                <w:szCs w:val="15"/>
                <w:color w:val="auto"/>
              </w:rPr>
              <w:t>152,665,804 shares issued and outstanding as of April 30, 2019 and January 31,</w:t>
            </w:r>
          </w:p>
        </w:tc>
        <w:tc>
          <w:tcPr>
            <w:tcW w:w="1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7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2019, respectively</w:t>
            </w:r>
          </w:p>
        </w:tc>
        <w:tc>
          <w:tcPr>
            <w:tcW w:w="1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159,552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tcPr>
          <w:p>
            <w:pPr>
              <w:spacing w:after="0"/>
              <w:rPr>
                <w:sz w:val="20"/>
                <w:szCs w:val="20"/>
                <w:color w:val="auto"/>
              </w:rPr>
            </w:pPr>
            <w:r>
              <w:rPr>
                <w:rFonts w:ascii="Arial" w:cs="Arial" w:eastAsia="Arial" w:hAnsi="Arial"/>
                <w:sz w:val="15"/>
                <w:szCs w:val="15"/>
                <w:color w:val="auto"/>
              </w:rPr>
              <w:t>Stockholders’ equity (deficit):</w:t>
            </w: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74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Preferred stock, $0.001 par value per share, 200,000,000 and zero shares authorized as</w:t>
            </w:r>
          </w:p>
        </w:tc>
        <w:tc>
          <w:tcPr>
            <w:tcW w:w="1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40" w:type="dxa"/>
            <w:vAlign w:val="bottom"/>
            <w:shd w:val="clear" w:color="auto" w:fill="CFF0FC"/>
          </w:tcPr>
          <w:p>
            <w:pPr>
              <w:ind w:left="360"/>
              <w:spacing w:after="0" w:line="162" w:lineRule="exact"/>
              <w:rPr>
                <w:sz w:val="20"/>
                <w:szCs w:val="20"/>
                <w:color w:val="auto"/>
              </w:rPr>
            </w:pPr>
            <w:r>
              <w:rPr>
                <w:rFonts w:ascii="Arial" w:cs="Arial" w:eastAsia="Arial" w:hAnsi="Arial"/>
                <w:sz w:val="15"/>
                <w:szCs w:val="15"/>
                <w:color w:val="auto"/>
              </w:rPr>
              <w:t>of April 30, 2019 and January 31, 2019, respectively; zero shares issued and</w:t>
            </w:r>
          </w:p>
        </w:tc>
        <w:tc>
          <w:tcPr>
            <w:tcW w:w="1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7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outstanding as of April 30, 2019 and January 31, 2019</w:t>
            </w:r>
          </w:p>
        </w:tc>
        <w:tc>
          <w:tcPr>
            <w:tcW w:w="1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6740" w:type="dxa"/>
            <w:vAlign w:val="bottom"/>
          </w:tcPr>
          <w:p>
            <w:pPr>
              <w:ind w:left="260"/>
              <w:spacing w:after="0" w:line="162" w:lineRule="exact"/>
              <w:rPr>
                <w:sz w:val="20"/>
                <w:szCs w:val="20"/>
                <w:color w:val="auto"/>
              </w:rPr>
            </w:pPr>
            <w:r>
              <w:rPr>
                <w:rFonts w:ascii="Arial" w:cs="Arial" w:eastAsia="Arial" w:hAnsi="Arial"/>
                <w:sz w:val="15"/>
                <w:szCs w:val="15"/>
                <w:color w:val="auto"/>
              </w:rPr>
              <w:t>Common stock, $0.001 par value per share, 2,000,000,000 and 320,000,000 Class A</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40" w:type="dxa"/>
            <w:vAlign w:val="bottom"/>
          </w:tcPr>
          <w:p>
            <w:pPr>
              <w:ind w:left="360"/>
              <w:spacing w:after="0" w:line="162" w:lineRule="exact"/>
              <w:rPr>
                <w:sz w:val="20"/>
                <w:szCs w:val="20"/>
                <w:color w:val="auto"/>
              </w:rPr>
            </w:pPr>
            <w:r>
              <w:rPr>
                <w:rFonts w:ascii="Arial" w:cs="Arial" w:eastAsia="Arial" w:hAnsi="Arial"/>
                <w:sz w:val="15"/>
                <w:szCs w:val="15"/>
                <w:color w:val="auto"/>
              </w:rPr>
              <w:t>shares authorized as of April 30, 2019 and January 31, 2019, respectively; 32,144,001</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40" w:type="dxa"/>
            <w:vAlign w:val="bottom"/>
          </w:tcPr>
          <w:p>
            <w:pPr>
              <w:ind w:left="360"/>
              <w:spacing w:after="0" w:line="162" w:lineRule="exact"/>
              <w:rPr>
                <w:sz w:val="20"/>
                <w:szCs w:val="20"/>
                <w:color w:val="auto"/>
              </w:rPr>
            </w:pPr>
            <w:r>
              <w:rPr>
                <w:rFonts w:ascii="Arial" w:cs="Arial" w:eastAsia="Arial" w:hAnsi="Arial"/>
                <w:sz w:val="15"/>
                <w:szCs w:val="15"/>
                <w:color w:val="auto"/>
              </w:rPr>
              <w:t>and zero shares issued and outstanding as of April 30, 2019 and January 31, 2019,</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40" w:type="dxa"/>
            <w:vAlign w:val="bottom"/>
          </w:tcPr>
          <w:p>
            <w:pPr>
              <w:ind w:left="360"/>
              <w:spacing w:after="0" w:line="162" w:lineRule="exact"/>
              <w:rPr>
                <w:sz w:val="20"/>
                <w:szCs w:val="20"/>
                <w:color w:val="auto"/>
              </w:rPr>
            </w:pPr>
            <w:r>
              <w:rPr>
                <w:rFonts w:ascii="Arial" w:cs="Arial" w:eastAsia="Arial" w:hAnsi="Arial"/>
                <w:sz w:val="15"/>
                <w:szCs w:val="15"/>
                <w:color w:val="auto"/>
              </w:rPr>
              <w:t>respectively; 300,000,000 Class B shares authorized as of April 30, 2019 and</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40" w:type="dxa"/>
            <w:vAlign w:val="bottom"/>
          </w:tcPr>
          <w:p>
            <w:pPr>
              <w:ind w:left="360"/>
              <w:spacing w:after="0" w:line="162" w:lineRule="exact"/>
              <w:rPr>
                <w:sz w:val="20"/>
                <w:szCs w:val="20"/>
                <w:color w:val="auto"/>
              </w:rPr>
            </w:pPr>
            <w:r>
              <w:rPr>
                <w:rFonts w:ascii="Arial" w:cs="Arial" w:eastAsia="Arial" w:hAnsi="Arial"/>
                <w:sz w:val="15"/>
                <w:szCs w:val="15"/>
                <w:color w:val="auto"/>
              </w:rPr>
              <w:t>January 31, 2019; 240,192,861 and 90,327,435 shares issued and outstanding as of</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740" w:type="dxa"/>
            <w:vAlign w:val="bottom"/>
          </w:tcPr>
          <w:p>
            <w:pPr>
              <w:ind w:left="360"/>
              <w:spacing w:after="0"/>
              <w:rPr>
                <w:sz w:val="20"/>
                <w:szCs w:val="20"/>
                <w:color w:val="auto"/>
              </w:rPr>
            </w:pPr>
            <w:r>
              <w:rPr>
                <w:rFonts w:ascii="Arial" w:cs="Arial" w:eastAsia="Arial" w:hAnsi="Arial"/>
                <w:sz w:val="15"/>
                <w:szCs w:val="15"/>
                <w:color w:val="auto"/>
              </w:rPr>
              <w:t>April 30, 2019 and January 31, 2019, respectively</w:t>
            </w: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271</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shd w:val="clear" w:color="auto" w:fill="CFF0FC"/>
          </w:tcPr>
          <w:p>
            <w:pPr>
              <w:ind w:left="380"/>
              <w:spacing w:after="0"/>
              <w:rPr>
                <w:sz w:val="20"/>
                <w:szCs w:val="20"/>
                <w:color w:val="auto"/>
              </w:rPr>
            </w:pPr>
            <w:r>
              <w:rPr>
                <w:rFonts w:ascii="Arial" w:cs="Arial" w:eastAsia="Arial" w:hAnsi="Arial"/>
                <w:sz w:val="15"/>
                <w:szCs w:val="15"/>
                <w:color w:val="auto"/>
              </w:rPr>
              <w:t>Additional paid-in capital</w:t>
            </w:r>
          </w:p>
        </w:tc>
        <w:tc>
          <w:tcPr>
            <w:tcW w:w="1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8"/>
              </w:rPr>
              <w:t>742,388</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17,760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40" w:type="dxa"/>
            <w:vAlign w:val="bottom"/>
          </w:tcPr>
          <w:p>
            <w:pPr>
              <w:ind w:left="380"/>
              <w:spacing w:after="0"/>
              <w:rPr>
                <w:sz w:val="20"/>
                <w:szCs w:val="20"/>
                <w:color w:val="auto"/>
              </w:rPr>
            </w:pPr>
            <w:r>
              <w:rPr>
                <w:rFonts w:ascii="Arial" w:cs="Arial" w:eastAsia="Arial" w:hAnsi="Arial"/>
                <w:sz w:val="15"/>
                <w:szCs w:val="15"/>
                <w:color w:val="auto"/>
              </w:rPr>
              <w:t>Accumulated other comprehensive income (loss)</w:t>
            </w: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5"/>
                <w:szCs w:val="15"/>
                <w:color w:val="auto"/>
              </w:rPr>
              <w:t>(135)</w:t>
            </w:r>
          </w:p>
        </w:tc>
        <w:tc>
          <w:tcPr>
            <w:tcW w:w="0" w:type="dxa"/>
            <w:vAlign w:val="bottom"/>
          </w:tcPr>
          <w:p>
            <w:pPr>
              <w:spacing w:after="0"/>
              <w:rPr>
                <w:sz w:val="1"/>
                <w:szCs w:val="1"/>
                <w:color w:val="auto"/>
              </w:rPr>
            </w:pPr>
          </w:p>
        </w:tc>
      </w:tr>
      <w:tr>
        <w:trPr>
          <w:trHeight w:val="176"/>
        </w:trPr>
        <w:tc>
          <w:tcPr>
            <w:tcW w:w="6740" w:type="dxa"/>
            <w:vAlign w:val="bottom"/>
            <w:shd w:val="clear" w:color="auto" w:fill="CFF0FC"/>
          </w:tcPr>
          <w:p>
            <w:pPr>
              <w:ind w:left="380"/>
              <w:spacing w:after="0"/>
              <w:rPr>
                <w:sz w:val="20"/>
                <w:szCs w:val="20"/>
                <w:color w:val="auto"/>
              </w:rPr>
            </w:pPr>
            <w:r>
              <w:rPr>
                <w:rFonts w:ascii="Arial" w:cs="Arial" w:eastAsia="Arial" w:hAnsi="Arial"/>
                <w:sz w:val="15"/>
                <w:szCs w:val="15"/>
                <w:color w:val="auto"/>
              </w:rPr>
              <w:t>Accumulated deficit</w:t>
            </w:r>
          </w:p>
        </w:tc>
        <w:tc>
          <w:tcPr>
            <w:tcW w:w="11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(22,939)</w:t>
            </w:r>
          </w:p>
        </w:tc>
        <w:tc>
          <w:tcPr>
            <w:tcW w:w="26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(25,153)</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5"/>
                <w:szCs w:val="15"/>
                <w:color w:val="auto"/>
              </w:rPr>
              <w:t>Total stockholders’ equity (deficit)</w:t>
            </w:r>
          </w:p>
        </w:tc>
        <w:tc>
          <w:tcPr>
            <w:tcW w:w="1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74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5"/>
                <w:szCs w:val="15"/>
                <w:color w:val="auto"/>
                <w:w w:val="88"/>
              </w:rPr>
              <w:t>719,728</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(7,439)</w:t>
            </w:r>
          </w:p>
        </w:tc>
        <w:tc>
          <w:tcPr>
            <w:tcW w:w="0" w:type="dxa"/>
            <w:vAlign w:val="bottom"/>
          </w:tcPr>
          <w:p>
            <w:pPr>
              <w:spacing w:after="0"/>
              <w:rPr>
                <w:sz w:val="1"/>
                <w:szCs w:val="1"/>
                <w:color w:val="auto"/>
              </w:rPr>
            </w:pPr>
          </w:p>
        </w:tc>
      </w:tr>
      <w:tr>
        <w:trPr>
          <w:trHeight w:val="169"/>
        </w:trPr>
        <w:tc>
          <w:tcPr>
            <w:tcW w:w="6740" w:type="dxa"/>
            <w:vAlign w:val="bottom"/>
            <w:tcBorders>
              <w:top w:val="single" w:sz="8" w:color="CFF0FC"/>
              <w:bottom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Total liabilities, convertible preferred stock, and stockholders’ equity (deficit)</w:t>
            </w:r>
          </w:p>
        </w:tc>
        <w:tc>
          <w:tcPr>
            <w:tcW w:w="1100" w:type="dxa"/>
            <w:vAlign w:val="bottom"/>
            <w:tcBorders>
              <w:top w:val="single" w:sz="8" w:color="CFF0FC"/>
              <w:bottom w:val="single" w:sz="8" w:color="CFF0FC"/>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ind w:right="906"/>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88"/>
              </w:rPr>
              <w:t>999,052</w:t>
            </w:r>
          </w:p>
        </w:tc>
        <w:tc>
          <w:tcPr>
            <w:tcW w:w="280" w:type="dxa"/>
            <w:vAlign w:val="bottom"/>
            <w:tcBorders>
              <w:top w:val="single" w:sz="8" w:color="CFF0FC"/>
              <w:bottom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jc w:val="right"/>
              <w:ind w:right="103"/>
              <w:spacing w:after="0" w:line="169" w:lineRule="exact"/>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354,565</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line="236" w:lineRule="auto"/>
        <w:rPr>
          <w:sz w:val="20"/>
          <w:szCs w:val="20"/>
          <w:color w:val="auto"/>
        </w:rPr>
      </w:pPr>
      <w:r>
        <w:rPr>
          <w:rFonts w:ascii="Arial" w:cs="Arial" w:eastAsia="Arial" w:hAnsi="Arial"/>
          <w:sz w:val="14"/>
          <w:szCs w:val="14"/>
          <w:b w:val="1"/>
          <w:bCs w:val="1"/>
          <w:color w:val="auto"/>
        </w:rPr>
        <w:t>April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940" w:type="dxa"/>
            <w:vAlign w:val="bottom"/>
            <w:tcBorders>
              <w:bottom w:val="single" w:sz="8" w:color="CFF0FC"/>
            </w:tcBorders>
          </w:tcPr>
          <w:p>
            <w:pPr>
              <w:spacing w:after="0"/>
              <w:rPr>
                <w:sz w:val="13"/>
                <w:szCs w:val="13"/>
                <w:color w:val="auto"/>
              </w:rPr>
            </w:pPr>
          </w:p>
        </w:tc>
        <w:tc>
          <w:tcPr>
            <w:tcW w:w="9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121,988</w:t>
            </w:r>
          </w:p>
        </w:tc>
        <w:tc>
          <w:tcPr>
            <w:tcW w:w="16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60,070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9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9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9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13,783</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4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64,041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36,261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92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18,503</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96,327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940" w:type="dxa"/>
            <w:vAlign w:val="bottom"/>
          </w:tcPr>
          <w:p>
            <w:pPr>
              <w:spacing w:after="0"/>
              <w:rPr>
                <w:sz w:val="20"/>
                <w:szCs w:val="20"/>
                <w:color w:val="auto"/>
              </w:rPr>
            </w:pPr>
            <w:r>
              <w:rPr>
                <w:rFonts w:ascii="Arial" w:cs="Arial" w:eastAsia="Arial" w:hAnsi="Arial"/>
                <w:sz w:val="18"/>
                <w:szCs w:val="18"/>
                <w:color w:val="auto"/>
              </w:rPr>
              <w:t>Interest income, net</w:t>
            </w: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9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Net income (loss) before provision for income taxes</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Net income (loss)</w:t>
            </w:r>
          </w:p>
        </w:tc>
        <w:tc>
          <w:tcPr>
            <w:tcW w:w="9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Undistributed earnings attributable to participating securities</w:t>
            </w: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 attributable to common stockholders</w:t>
            </w:r>
          </w:p>
        </w:tc>
        <w:tc>
          <w:tcPr>
            <w:tcW w:w="92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attributable to common stockholders:</w:t>
            </w:r>
          </w:p>
        </w:tc>
        <w:tc>
          <w:tcPr>
            <w:tcW w:w="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940" w:type="dxa"/>
            <w:vAlign w:val="bottom"/>
          </w:tcPr>
          <w:p>
            <w:pPr>
              <w:spacing w:after="0"/>
              <w:rPr>
                <w:sz w:val="20"/>
                <w:szCs w:val="20"/>
                <w:color w:val="auto"/>
              </w:rPr>
            </w:pPr>
            <w:r>
              <w:rPr>
                <w:rFonts w:ascii="Arial" w:cs="Arial" w:eastAsia="Arial" w:hAnsi="Arial"/>
                <w:sz w:val="18"/>
                <w:szCs w:val="18"/>
                <w:color w:val="auto"/>
              </w:rPr>
              <w:t>Basic</w:t>
            </w:r>
          </w:p>
        </w:tc>
        <w:tc>
          <w:tcPr>
            <w:tcW w:w="9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23"/>
                <w:szCs w:val="23"/>
                <w:color w:val="auto"/>
              </w:rPr>
            </w:pP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0"/>
        </w:trPr>
        <w:tc>
          <w:tcPr>
            <w:tcW w:w="6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9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net income (loss) per share attributable</w:t>
            </w:r>
          </w:p>
        </w:tc>
        <w:tc>
          <w:tcPr>
            <w:tcW w:w="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4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to common stockholders:</w:t>
            </w: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w:t>
            </w:r>
          </w:p>
        </w:tc>
        <w:tc>
          <w:tcPr>
            <w:tcW w:w="9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109,708,898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80,623,861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Diluted</w:t>
            </w:r>
          </w:p>
        </w:tc>
        <w:tc>
          <w:tcPr>
            <w:tcW w:w="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136,428,379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80,623,861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line="236" w:lineRule="auto"/>
        <w:rPr>
          <w:sz w:val="20"/>
          <w:szCs w:val="20"/>
          <w:color w:val="auto"/>
        </w:rPr>
      </w:pPr>
      <w:r>
        <w:rPr>
          <w:rFonts w:ascii="Arial" w:cs="Arial" w:eastAsia="Arial" w:hAnsi="Arial"/>
          <w:sz w:val="14"/>
          <w:szCs w:val="14"/>
          <w:b w:val="1"/>
          <w:bCs w:val="1"/>
          <w:color w:val="auto"/>
        </w:rPr>
        <w:t>April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78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5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(loss) on available for sale marketable securities, net of tax</w:t>
            </w:r>
          </w:p>
        </w:tc>
        <w:tc>
          <w:tcPr>
            <w:tcW w:w="10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0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12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11"/>
          </w:tcPr>
          <w:p>
            <w:pPr>
              <w:ind w:left="40"/>
              <w:spacing w:after="0"/>
              <w:rPr>
                <w:sz w:val="20"/>
                <w:szCs w:val="20"/>
                <w:color w:val="auto"/>
              </w:rPr>
            </w:pPr>
            <w:r>
              <w:rPr>
                <w:rFonts w:ascii="Arial" w:cs="Arial" w:eastAsia="Arial" w:hAnsi="Arial"/>
                <w:sz w:val="14"/>
                <w:szCs w:val="14"/>
                <w:b w:val="1"/>
                <w:bCs w:val="1"/>
                <w:color w:val="auto"/>
                <w:w w:val="98"/>
              </w:rPr>
              <w:t>Three Months Ended April 30, 2019</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640" w:type="dxa"/>
            <w:vAlign w:val="bottom"/>
          </w:tcPr>
          <w:p>
            <w:pPr>
              <w:spacing w:after="0"/>
              <w:rPr>
                <w:sz w:val="11"/>
                <w:szCs w:val="11"/>
                <w:color w:val="auto"/>
              </w:rPr>
            </w:pPr>
          </w:p>
        </w:tc>
        <w:tc>
          <w:tcPr>
            <w:tcW w:w="2220" w:type="dxa"/>
            <w:vAlign w:val="bottom"/>
            <w:tcBorders>
              <w:right w:val="single" w:sz="8" w:color="auto"/>
            </w:tcBorders>
            <w:gridSpan w:val="6"/>
            <w:vMerge w:val="restart"/>
          </w:tcPr>
          <w:p>
            <w:pPr>
              <w:jc w:val="center"/>
              <w:ind w:right="260"/>
              <w:spacing w:after="0"/>
              <w:rPr>
                <w:sz w:val="20"/>
                <w:szCs w:val="20"/>
                <w:color w:val="auto"/>
              </w:rPr>
            </w:pPr>
            <w:r>
              <w:rPr>
                <w:rFonts w:ascii="Arial" w:cs="Arial" w:eastAsia="Arial" w:hAnsi="Arial"/>
                <w:sz w:val="14"/>
                <w:szCs w:val="14"/>
                <w:b w:val="1"/>
                <w:bCs w:val="1"/>
                <w:color w:val="auto"/>
                <w:w w:val="93"/>
              </w:rPr>
              <w:t>Convertible</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1"/>
                <w:szCs w:val="11"/>
                <w:color w:val="auto"/>
              </w:rPr>
            </w:pPr>
          </w:p>
        </w:tc>
        <w:tc>
          <w:tcPr>
            <w:tcW w:w="1160" w:type="dxa"/>
            <w:vAlign w:val="bottom"/>
            <w:gridSpan w:val="4"/>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67"/>
              <w:spacing w:after="0" w:line="133"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2220" w:type="dxa"/>
            <w:vAlign w:val="bottom"/>
            <w:tcBorders>
              <w:right w:val="single" w:sz="8" w:color="auto"/>
            </w:tcBorders>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2220" w:type="dxa"/>
            <w:vAlign w:val="bottom"/>
            <w:tcBorders>
              <w:right w:val="single" w:sz="8" w:color="auto"/>
            </w:tcBorders>
            <w:gridSpan w:val="6"/>
          </w:tcPr>
          <w:p>
            <w:pPr>
              <w:jc w:val="center"/>
              <w:ind w:right="280"/>
              <w:spacing w:after="0"/>
              <w:rPr>
                <w:sz w:val="20"/>
                <w:szCs w:val="20"/>
                <w:color w:val="auto"/>
              </w:rPr>
            </w:pPr>
            <w:r>
              <w:rPr>
                <w:rFonts w:ascii="Arial" w:cs="Arial" w:eastAsia="Arial" w:hAnsi="Arial"/>
                <w:sz w:val="14"/>
                <w:szCs w:val="14"/>
                <w:b w:val="1"/>
                <w:bCs w:val="1"/>
                <w:color w:val="auto"/>
                <w:w w:val="93"/>
              </w:rPr>
              <w:t>Preferred Stock</w:t>
            </w:r>
          </w:p>
        </w:tc>
        <w:tc>
          <w:tcPr>
            <w:tcW w:w="120" w:type="dxa"/>
            <w:vAlign w:val="bottom"/>
          </w:tcPr>
          <w:p>
            <w:pPr>
              <w:spacing w:after="0"/>
              <w:rPr>
                <w:sz w:val="14"/>
                <w:szCs w:val="14"/>
                <w:color w:val="auto"/>
              </w:rPr>
            </w:pPr>
          </w:p>
        </w:tc>
        <w:tc>
          <w:tcPr>
            <w:tcW w:w="19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Paid-in</w:t>
            </w:r>
          </w:p>
        </w:tc>
        <w:tc>
          <w:tcPr>
            <w:tcW w:w="1180" w:type="dxa"/>
            <w:vAlign w:val="bottom"/>
            <w:gridSpan w:val="5"/>
          </w:tcPr>
          <w:p>
            <w:pPr>
              <w:ind w:left="20"/>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2640" w:type="dxa"/>
            <w:vAlign w:val="bottom"/>
          </w:tcPr>
          <w:p>
            <w:pPr>
              <w:spacing w:after="0"/>
              <w:rPr>
                <w:sz w:val="13"/>
                <w:szCs w:val="13"/>
                <w:color w:val="auto"/>
              </w:rPr>
            </w:pPr>
          </w:p>
        </w:tc>
        <w:tc>
          <w:tcPr>
            <w:tcW w:w="104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06"/>
              <w:spacing w:after="0" w:line="155" w:lineRule="exact"/>
              <w:rPr>
                <w:sz w:val="20"/>
                <w:szCs w:val="20"/>
                <w:color w:val="auto"/>
              </w:rPr>
            </w:pPr>
            <w:r>
              <w:rPr>
                <w:rFonts w:ascii="Arial" w:cs="Arial" w:eastAsia="Arial" w:hAnsi="Arial"/>
                <w:sz w:val="14"/>
                <w:szCs w:val="14"/>
                <w:b w:val="1"/>
                <w:bCs w:val="1"/>
                <w:color w:val="auto"/>
                <w:w w:val="98"/>
              </w:rPr>
              <w:t>Amount</w:t>
            </w: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Borders>
              <w:top w:val="single" w:sz="8" w:color="auto"/>
            </w:tcBorders>
          </w:tcPr>
          <w:p>
            <w:pPr>
              <w:jc w:val="right"/>
              <w:ind w:right="147"/>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3"/>
          </w:tcPr>
          <w:p>
            <w:pPr>
              <w:jc w:val="center"/>
              <w:ind w:right="320"/>
              <w:spacing w:after="0" w:line="155" w:lineRule="exact"/>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3"/>
                <w:szCs w:val="13"/>
                <w:color w:val="auto"/>
              </w:rPr>
            </w:pPr>
          </w:p>
        </w:tc>
        <w:tc>
          <w:tcPr>
            <w:tcW w:w="1160" w:type="dxa"/>
            <w:vAlign w:val="bottom"/>
            <w:gridSpan w:val="4"/>
          </w:tcPr>
          <w:p>
            <w:pPr>
              <w:jc w:val="center"/>
              <w:ind w:right="220"/>
              <w:spacing w:after="0" w:line="155" w:lineRule="exact"/>
              <w:rPr>
                <w:sz w:val="20"/>
                <w:szCs w:val="20"/>
                <w:color w:val="auto"/>
              </w:rPr>
            </w:pPr>
            <w:r>
              <w:rPr>
                <w:rFonts w:ascii="Arial" w:cs="Arial" w:eastAsia="Arial" w:hAnsi="Arial"/>
                <w:sz w:val="14"/>
                <w:szCs w:val="14"/>
                <w:b w:val="1"/>
                <w:bCs w:val="1"/>
                <w:color w:val="auto"/>
                <w:w w:val="90"/>
              </w:rPr>
              <w:t>Income (Loss)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3"/>
                <w:szCs w:val="13"/>
                <w:color w:val="auto"/>
              </w:rPr>
            </w:pPr>
          </w:p>
        </w:tc>
        <w:tc>
          <w:tcPr>
            <w:tcW w:w="84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56"/>
        </w:trPr>
        <w:tc>
          <w:tcPr>
            <w:tcW w:w="26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as of January 31, 2019</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152,665,804</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159,552</w:t>
            </w:r>
          </w:p>
        </w:tc>
        <w:tc>
          <w:tcPr>
            <w:tcW w:w="260" w:type="dxa"/>
            <w:vAlign w:val="bottom"/>
            <w:tcBorders>
              <w:top w:val="single" w:sz="8" w:color="CFF0FC"/>
              <w:right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90,327,435</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89</w:t>
            </w:r>
          </w:p>
        </w:tc>
        <w:tc>
          <w:tcPr>
            <w:tcW w:w="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17,760</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(135)</w:t>
            </w:r>
          </w:p>
        </w:tc>
        <w:tc>
          <w:tcPr>
            <w:tcW w:w="2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(25,153)</w:t>
            </w: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(7,439)</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640" w:type="dxa"/>
            <w:vAlign w:val="bottom"/>
          </w:tcPr>
          <w:p>
            <w:pPr>
              <w:ind w:left="260"/>
              <w:spacing w:after="0" w:line="143" w:lineRule="exact"/>
              <w:rPr>
                <w:sz w:val="20"/>
                <w:szCs w:val="20"/>
                <w:color w:val="auto"/>
              </w:rPr>
            </w:pPr>
            <w:r>
              <w:rPr>
                <w:rFonts w:ascii="Arial" w:cs="Arial" w:eastAsia="Arial" w:hAnsi="Arial"/>
                <w:sz w:val="14"/>
                <w:szCs w:val="14"/>
                <w:color w:val="auto"/>
              </w:rPr>
              <w:t>Conversion of convertible</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360"/>
              <w:spacing w:after="0" w:line="149" w:lineRule="exact"/>
              <w:rPr>
                <w:sz w:val="20"/>
                <w:szCs w:val="20"/>
                <w:color w:val="auto"/>
              </w:rPr>
            </w:pPr>
            <w:r>
              <w:rPr>
                <w:rFonts w:ascii="Arial" w:cs="Arial" w:eastAsia="Arial" w:hAnsi="Arial"/>
                <w:sz w:val="14"/>
                <w:szCs w:val="14"/>
                <w:color w:val="auto"/>
              </w:rPr>
              <w:t>preferred stock to</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360"/>
              <w:spacing w:after="0" w:line="149" w:lineRule="exact"/>
              <w:rPr>
                <w:sz w:val="20"/>
                <w:szCs w:val="20"/>
                <w:color w:val="auto"/>
              </w:rPr>
            </w:pPr>
            <w:r>
              <w:rPr>
                <w:rFonts w:ascii="Arial" w:cs="Arial" w:eastAsia="Arial" w:hAnsi="Arial"/>
                <w:sz w:val="14"/>
                <w:szCs w:val="14"/>
                <w:color w:val="auto"/>
              </w:rPr>
              <w:t>common stock upon</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40" w:type="dxa"/>
            <w:vAlign w:val="bottom"/>
          </w:tcPr>
          <w:p>
            <w:pPr>
              <w:ind w:left="360"/>
              <w:spacing w:after="0"/>
              <w:rPr>
                <w:sz w:val="20"/>
                <w:szCs w:val="20"/>
                <w:color w:val="auto"/>
              </w:rPr>
            </w:pPr>
            <w:r>
              <w:rPr>
                <w:rFonts w:ascii="Arial" w:cs="Arial" w:eastAsia="Arial" w:hAnsi="Arial"/>
                <w:sz w:val="14"/>
                <w:szCs w:val="14"/>
                <w:color w:val="auto"/>
              </w:rPr>
              <w:t>initial public offering</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(152,665,804)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(159,552)</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152,665,804</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159,399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159,552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Conversion of convertible</w:t>
            </w: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FF0FC"/>
          </w:tcPr>
          <w:p>
            <w:pPr>
              <w:ind w:left="360"/>
              <w:spacing w:after="0" w:line="149" w:lineRule="exact"/>
              <w:rPr>
                <w:sz w:val="20"/>
                <w:szCs w:val="20"/>
                <w:color w:val="auto"/>
              </w:rPr>
            </w:pPr>
            <w:r>
              <w:rPr>
                <w:rFonts w:ascii="Arial" w:cs="Arial" w:eastAsia="Arial" w:hAnsi="Arial"/>
                <w:sz w:val="14"/>
                <w:szCs w:val="14"/>
                <w:color w:val="auto"/>
              </w:rPr>
              <w:t>promissory notes and</w:t>
            </w: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FF0FC"/>
          </w:tcPr>
          <w:p>
            <w:pPr>
              <w:ind w:left="360"/>
              <w:spacing w:after="0" w:line="149" w:lineRule="exact"/>
              <w:rPr>
                <w:sz w:val="20"/>
                <w:szCs w:val="20"/>
                <w:color w:val="auto"/>
              </w:rPr>
            </w:pPr>
            <w:r>
              <w:rPr>
                <w:rFonts w:ascii="Arial" w:cs="Arial" w:eastAsia="Arial" w:hAnsi="Arial"/>
                <w:sz w:val="14"/>
                <w:szCs w:val="14"/>
                <w:color w:val="auto"/>
              </w:rPr>
              <w:t>accrued interest to</w:t>
            </w: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FF0FC"/>
          </w:tcPr>
          <w:p>
            <w:pPr>
              <w:ind w:left="360"/>
              <w:spacing w:after="0" w:line="149" w:lineRule="exact"/>
              <w:rPr>
                <w:sz w:val="20"/>
                <w:szCs w:val="20"/>
                <w:color w:val="auto"/>
              </w:rPr>
            </w:pPr>
            <w:r>
              <w:rPr>
                <w:rFonts w:ascii="Arial" w:cs="Arial" w:eastAsia="Arial" w:hAnsi="Arial"/>
                <w:sz w:val="14"/>
                <w:szCs w:val="14"/>
                <w:color w:val="auto"/>
              </w:rPr>
              <w:t>common stock upon</w:t>
            </w: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initial public offering</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426,223</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15,344</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15,344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4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360"/>
              <w:spacing w:after="0" w:line="149" w:lineRule="exact"/>
              <w:rPr>
                <w:sz w:val="20"/>
                <w:szCs w:val="20"/>
                <w:color w:val="auto"/>
              </w:rPr>
            </w:pPr>
            <w:r>
              <w:rPr>
                <w:rFonts w:ascii="Arial" w:cs="Arial" w:eastAsia="Arial" w:hAnsi="Arial"/>
                <w:sz w:val="14"/>
                <w:szCs w:val="14"/>
                <w:color w:val="auto"/>
              </w:rPr>
              <w:t>upon initial public offering</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360"/>
              <w:spacing w:after="0" w:line="149" w:lineRule="exact"/>
              <w:rPr>
                <w:sz w:val="20"/>
                <w:szCs w:val="20"/>
                <w:color w:val="auto"/>
              </w:rPr>
            </w:pPr>
            <w:r>
              <w:rPr>
                <w:rFonts w:ascii="Arial" w:cs="Arial" w:eastAsia="Arial" w:hAnsi="Arial"/>
                <w:sz w:val="14"/>
                <w:szCs w:val="14"/>
                <w:color w:val="auto"/>
              </w:rPr>
              <w:t>and private placement,</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360"/>
              <w:spacing w:after="0" w:line="149" w:lineRule="exact"/>
              <w:rPr>
                <w:sz w:val="20"/>
                <w:szCs w:val="20"/>
                <w:color w:val="auto"/>
              </w:rPr>
            </w:pPr>
            <w:r>
              <w:rPr>
                <w:rFonts w:ascii="Arial" w:cs="Arial" w:eastAsia="Arial" w:hAnsi="Arial"/>
                <w:sz w:val="14"/>
                <w:szCs w:val="14"/>
                <w:color w:val="auto"/>
              </w:rPr>
              <w:t>net of underwriting</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360"/>
              <w:spacing w:after="0" w:line="149" w:lineRule="exact"/>
              <w:rPr>
                <w:sz w:val="20"/>
                <w:szCs w:val="20"/>
                <w:color w:val="auto"/>
              </w:rPr>
            </w:pPr>
            <w:r>
              <w:rPr>
                <w:rFonts w:ascii="Arial" w:cs="Arial" w:eastAsia="Arial" w:hAnsi="Arial"/>
                <w:sz w:val="14"/>
                <w:szCs w:val="14"/>
                <w:color w:val="auto"/>
              </w:rPr>
              <w:t>discounts and commissions</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40" w:type="dxa"/>
            <w:vAlign w:val="bottom"/>
          </w:tcPr>
          <w:p>
            <w:pPr>
              <w:ind w:left="360"/>
              <w:spacing w:after="0"/>
              <w:rPr>
                <w:sz w:val="20"/>
                <w:szCs w:val="20"/>
                <w:color w:val="auto"/>
              </w:rPr>
            </w:pPr>
            <w:r>
              <w:rPr>
                <w:rFonts w:ascii="Arial" w:cs="Arial" w:eastAsia="Arial" w:hAnsi="Arial"/>
                <w:sz w:val="14"/>
                <w:szCs w:val="14"/>
                <w:color w:val="auto"/>
              </w:rPr>
              <w:t>and other offering costs</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15,819,646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541,483</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541,499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w:t>
            </w: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FF0FC"/>
          </w:tcPr>
          <w:p>
            <w:pPr>
              <w:ind w:left="360"/>
              <w:spacing w:after="0" w:line="149" w:lineRule="exact"/>
              <w:rPr>
                <w:sz w:val="20"/>
                <w:szCs w:val="20"/>
                <w:color w:val="auto"/>
              </w:rPr>
            </w:pPr>
            <w:r>
              <w:rPr>
                <w:rFonts w:ascii="Arial" w:cs="Arial" w:eastAsia="Arial" w:hAnsi="Arial"/>
                <w:sz w:val="14"/>
                <w:szCs w:val="14"/>
                <w:color w:val="auto"/>
              </w:rPr>
              <w:t>upon exercise of stock</w:t>
            </w: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options, net of repurchases</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13,097,754</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1,740</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40" w:type="dxa"/>
            <w:vAlign w:val="bottom"/>
          </w:tcPr>
          <w:p>
            <w:pPr>
              <w:ind w:left="260"/>
              <w:spacing w:after="0" w:line="143" w:lineRule="exact"/>
              <w:rPr>
                <w:sz w:val="20"/>
                <w:szCs w:val="20"/>
                <w:color w:val="auto"/>
              </w:rPr>
            </w:pPr>
            <w:r>
              <w:rPr>
                <w:rFonts w:ascii="Arial" w:cs="Arial" w:eastAsia="Arial" w:hAnsi="Arial"/>
                <w:sz w:val="14"/>
                <w:szCs w:val="14"/>
                <w:color w:val="auto"/>
              </w:rPr>
              <w:t>Stock-based compensation</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40" w:type="dxa"/>
            <w:vAlign w:val="bottom"/>
          </w:tcPr>
          <w:p>
            <w:pPr>
              <w:ind w:left="360"/>
              <w:spacing w:after="0"/>
              <w:rPr>
                <w:sz w:val="20"/>
                <w:szCs w:val="20"/>
                <w:color w:val="auto"/>
              </w:rPr>
            </w:pPr>
            <w:r>
              <w:rPr>
                <w:rFonts w:ascii="Arial" w:cs="Arial" w:eastAsia="Arial" w:hAnsi="Arial"/>
                <w:sz w:val="14"/>
                <w:szCs w:val="14"/>
                <w:color w:val="auto"/>
              </w:rPr>
              <w:t>expense</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6,662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6,662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comprehensive income</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8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143</w:t>
            </w: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2,214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as of April 30, 2019</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FF0FC"/>
              <w:bottom w:val="single" w:sz="8" w:color="CFF0FC"/>
              <w:right w:val="single" w:sz="8" w:color="auto"/>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272,336,862</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271</w:t>
            </w:r>
          </w:p>
        </w:tc>
        <w:tc>
          <w:tcPr>
            <w:tcW w:w="20" w:type="dxa"/>
            <w:vAlign w:val="bottom"/>
            <w:tcBorders>
              <w:top w:val="single" w:sz="8" w:color="auto"/>
              <w:bottom w:val="single" w:sz="8" w:color="auto"/>
            </w:tcBorders>
            <w:shd w:val="clear" w:color="auto" w:fill="CFF0FC"/>
          </w:tcPr>
          <w:p>
            <w:pPr>
              <w:spacing w:after="0"/>
              <w:rPr>
                <w:sz w:val="13"/>
                <w:szCs w:val="13"/>
                <w:color w:val="auto"/>
              </w:rPr>
            </w:pP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742,388</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8</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(22,939)</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719,728</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6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11"/>
          </w:tcPr>
          <w:p>
            <w:pPr>
              <w:ind w:left="40"/>
              <w:spacing w:after="0"/>
              <w:rPr>
                <w:sz w:val="20"/>
                <w:szCs w:val="20"/>
                <w:color w:val="auto"/>
              </w:rPr>
            </w:pPr>
            <w:r>
              <w:rPr>
                <w:rFonts w:ascii="Arial" w:cs="Arial" w:eastAsia="Arial" w:hAnsi="Arial"/>
                <w:sz w:val="14"/>
                <w:szCs w:val="14"/>
                <w:b w:val="1"/>
                <w:bCs w:val="1"/>
                <w:color w:val="auto"/>
                <w:w w:val="98"/>
              </w:rPr>
              <w:t>Three Months Ended April 30, 2018</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640" w:type="dxa"/>
            <w:vAlign w:val="bottom"/>
          </w:tcPr>
          <w:p>
            <w:pPr>
              <w:spacing w:after="0"/>
              <w:rPr>
                <w:sz w:val="11"/>
                <w:szCs w:val="11"/>
                <w:color w:val="auto"/>
              </w:rPr>
            </w:pPr>
          </w:p>
        </w:tc>
        <w:tc>
          <w:tcPr>
            <w:tcW w:w="2220" w:type="dxa"/>
            <w:vAlign w:val="bottom"/>
            <w:tcBorders>
              <w:right w:val="single" w:sz="8" w:color="auto"/>
            </w:tcBorders>
            <w:gridSpan w:val="6"/>
            <w:vMerge w:val="restart"/>
          </w:tcPr>
          <w:p>
            <w:pPr>
              <w:jc w:val="center"/>
              <w:ind w:right="260"/>
              <w:spacing w:after="0"/>
              <w:rPr>
                <w:sz w:val="20"/>
                <w:szCs w:val="20"/>
                <w:color w:val="auto"/>
              </w:rPr>
            </w:pPr>
            <w:r>
              <w:rPr>
                <w:rFonts w:ascii="Arial" w:cs="Arial" w:eastAsia="Arial" w:hAnsi="Arial"/>
                <w:sz w:val="14"/>
                <w:szCs w:val="14"/>
                <w:b w:val="1"/>
                <w:bCs w:val="1"/>
                <w:color w:val="auto"/>
                <w:w w:val="93"/>
              </w:rPr>
              <w:t>Convertible</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1"/>
                <w:szCs w:val="11"/>
                <w:color w:val="auto"/>
              </w:rPr>
            </w:pPr>
          </w:p>
        </w:tc>
        <w:tc>
          <w:tcPr>
            <w:tcW w:w="1160" w:type="dxa"/>
            <w:vAlign w:val="bottom"/>
            <w:gridSpan w:val="4"/>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2220" w:type="dxa"/>
            <w:vAlign w:val="bottom"/>
            <w:tcBorders>
              <w:right w:val="single" w:sz="8" w:color="auto"/>
            </w:tcBorders>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2220" w:type="dxa"/>
            <w:vAlign w:val="bottom"/>
            <w:tcBorders>
              <w:right w:val="single" w:sz="8" w:color="auto"/>
            </w:tcBorders>
            <w:gridSpan w:val="6"/>
          </w:tcPr>
          <w:p>
            <w:pPr>
              <w:jc w:val="center"/>
              <w:ind w:right="280"/>
              <w:spacing w:after="0"/>
              <w:rPr>
                <w:sz w:val="20"/>
                <w:szCs w:val="20"/>
                <w:color w:val="auto"/>
              </w:rPr>
            </w:pPr>
            <w:r>
              <w:rPr>
                <w:rFonts w:ascii="Arial" w:cs="Arial" w:eastAsia="Arial" w:hAnsi="Arial"/>
                <w:sz w:val="14"/>
                <w:szCs w:val="14"/>
                <w:b w:val="1"/>
                <w:bCs w:val="1"/>
                <w:color w:val="auto"/>
                <w:w w:val="93"/>
              </w:rPr>
              <w:t>Preferred Stock</w:t>
            </w:r>
          </w:p>
        </w:tc>
        <w:tc>
          <w:tcPr>
            <w:tcW w:w="120" w:type="dxa"/>
            <w:vAlign w:val="bottom"/>
          </w:tcPr>
          <w:p>
            <w:pPr>
              <w:spacing w:after="0"/>
              <w:rPr>
                <w:sz w:val="14"/>
                <w:szCs w:val="14"/>
                <w:color w:val="auto"/>
              </w:rPr>
            </w:pPr>
          </w:p>
        </w:tc>
        <w:tc>
          <w:tcPr>
            <w:tcW w:w="19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Paid-in</w:t>
            </w:r>
          </w:p>
        </w:tc>
        <w:tc>
          <w:tcPr>
            <w:tcW w:w="11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264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187"/>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06"/>
              <w:spacing w:after="0" w:line="155" w:lineRule="exact"/>
              <w:rPr>
                <w:sz w:val="20"/>
                <w:szCs w:val="20"/>
                <w:color w:val="auto"/>
              </w:rPr>
            </w:pPr>
            <w:r>
              <w:rPr>
                <w:rFonts w:ascii="Arial" w:cs="Arial" w:eastAsia="Arial" w:hAnsi="Arial"/>
                <w:sz w:val="14"/>
                <w:szCs w:val="14"/>
                <w:b w:val="1"/>
                <w:bCs w:val="1"/>
                <w:color w:val="auto"/>
                <w:w w:val="98"/>
              </w:rPr>
              <w:t>Amount</w:t>
            </w:r>
          </w:p>
        </w:tc>
        <w:tc>
          <w:tcPr>
            <w:tcW w:w="260" w:type="dxa"/>
            <w:vAlign w:val="bottom"/>
            <w:tcBorders>
              <w:bottom w:val="single" w:sz="8" w:color="CFF0FC"/>
              <w:right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47"/>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06"/>
              <w:spacing w:after="0" w:line="155" w:lineRule="exact"/>
              <w:rPr>
                <w:sz w:val="20"/>
                <w:szCs w:val="20"/>
                <w:color w:val="auto"/>
              </w:rPr>
            </w:pPr>
            <w:r>
              <w:rPr>
                <w:rFonts w:ascii="Arial" w:cs="Arial" w:eastAsia="Arial" w:hAnsi="Arial"/>
                <w:sz w:val="14"/>
                <w:szCs w:val="14"/>
                <w:b w:val="1"/>
                <w:bCs w:val="1"/>
                <w:color w:val="auto"/>
                <w:w w:val="98"/>
              </w:rPr>
              <w:t>Amount</w:t>
            </w: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7"/>
              <w:spacing w:after="0" w:line="155" w:lineRule="exact"/>
              <w:rPr>
                <w:sz w:val="20"/>
                <w:szCs w:val="20"/>
                <w:color w:val="auto"/>
              </w:rPr>
            </w:pPr>
            <w:r>
              <w:rPr>
                <w:rFonts w:ascii="Arial" w:cs="Arial" w:eastAsia="Arial" w:hAnsi="Arial"/>
                <w:sz w:val="14"/>
                <w:szCs w:val="14"/>
                <w:b w:val="1"/>
                <w:bCs w:val="1"/>
                <w:color w:val="auto"/>
                <w:w w:val="98"/>
              </w:rPr>
              <w:t>Capital</w:t>
            </w:r>
          </w:p>
        </w:tc>
        <w:tc>
          <w:tcPr>
            <w:tcW w:w="240" w:type="dxa"/>
            <w:vAlign w:val="bottom"/>
            <w:tcBorders>
              <w:bottom w:val="single" w:sz="8" w:color="CFF0FC"/>
            </w:tcBorders>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07"/>
              <w:spacing w:after="0" w:line="155" w:lineRule="exact"/>
              <w:rPr>
                <w:sz w:val="20"/>
                <w:szCs w:val="20"/>
                <w:color w:val="auto"/>
              </w:rPr>
            </w:pPr>
            <w:r>
              <w:rPr>
                <w:rFonts w:ascii="Arial" w:cs="Arial" w:eastAsia="Arial" w:hAnsi="Arial"/>
                <w:sz w:val="14"/>
                <w:szCs w:val="14"/>
                <w:b w:val="1"/>
                <w:bCs w:val="1"/>
                <w:color w:val="auto"/>
                <w:w w:val="85"/>
              </w:rPr>
              <w:t>Loss</w:t>
            </w:r>
          </w:p>
        </w:tc>
        <w:tc>
          <w:tcPr>
            <w:tcW w:w="220" w:type="dxa"/>
            <w:vAlign w:val="bottom"/>
            <w:tcBorders>
              <w:bottom w:val="single" w:sz="8" w:color="CFF0FC"/>
            </w:tcBorders>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66"/>
              <w:spacing w:after="0" w:line="155" w:lineRule="exact"/>
              <w:rPr>
                <w:sz w:val="20"/>
                <w:szCs w:val="20"/>
                <w:color w:val="auto"/>
              </w:rPr>
            </w:pPr>
            <w:r>
              <w:rPr>
                <w:rFonts w:ascii="Arial" w:cs="Arial" w:eastAsia="Arial" w:hAnsi="Arial"/>
                <w:sz w:val="14"/>
                <w:szCs w:val="14"/>
                <w:b w:val="1"/>
                <w:bCs w:val="1"/>
                <w:color w:val="auto"/>
              </w:rPr>
              <w:t>Deficit</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87"/>
              <w:spacing w:after="0" w:line="155" w:lineRule="exact"/>
              <w:rPr>
                <w:sz w:val="20"/>
                <w:szCs w:val="20"/>
                <w:color w:val="auto"/>
              </w:rPr>
            </w:pPr>
            <w:r>
              <w:rPr>
                <w:rFonts w:ascii="Arial" w:cs="Arial" w:eastAsia="Arial" w:hAnsi="Arial"/>
                <w:sz w:val="14"/>
                <w:szCs w:val="14"/>
                <w:b w:val="1"/>
                <w:bCs w:val="1"/>
                <w:color w:val="auto"/>
                <w:w w:val="98"/>
              </w:rPr>
              <w:t>Deficit</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6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Balance as of January 31, 2018</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152,665,804</w:t>
            </w:r>
          </w:p>
        </w:tc>
        <w:tc>
          <w:tcPr>
            <w:tcW w:w="14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159,552</w:t>
            </w:r>
          </w:p>
        </w:tc>
        <w:tc>
          <w:tcPr>
            <w:tcW w:w="26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82,609,638</w:t>
            </w:r>
          </w:p>
        </w:tc>
        <w:tc>
          <w:tcPr>
            <w:tcW w:w="340" w:type="dxa"/>
            <w:vAlign w:val="bottom"/>
            <w:gridSpan w:val="3"/>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80</w:t>
            </w:r>
          </w:p>
        </w:tc>
        <w:tc>
          <w:tcPr>
            <w:tcW w:w="20" w:type="dxa"/>
            <w:vAlign w:val="bottom"/>
            <w:shd w:val="clear" w:color="auto" w:fill="CFF0FC"/>
          </w:tcPr>
          <w:p>
            <w:pPr>
              <w:spacing w:after="0"/>
              <w:rPr>
                <w:sz w:val="14"/>
                <w:szCs w:val="14"/>
                <w:color w:val="auto"/>
              </w:rPr>
            </w:pPr>
          </w:p>
        </w:tc>
        <w:tc>
          <w:tcPr>
            <w:tcW w:w="300" w:type="dxa"/>
            <w:vAlign w:val="bottom"/>
            <w:gridSpan w:val="3"/>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6,517</w:t>
            </w: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spacing w:after="0" w:line="169" w:lineRule="exact"/>
              <w:rPr>
                <w:sz w:val="20"/>
                <w:szCs w:val="20"/>
                <w:color w:val="auto"/>
              </w:rPr>
            </w:pPr>
            <w:r>
              <w:rPr>
                <w:rFonts w:ascii="Arial" w:cs="Arial" w:eastAsia="Arial" w:hAnsi="Arial"/>
                <w:sz w:val="15"/>
                <w:szCs w:val="15"/>
                <w:color w:val="auto"/>
              </w:rPr>
              <w:t>$</w:t>
            </w:r>
          </w:p>
        </w:tc>
        <w:tc>
          <w:tcPr>
            <w:tcW w:w="1000" w:type="dxa"/>
            <w:vAlign w:val="bottom"/>
            <w:gridSpan w:val="3"/>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(531)</w:t>
            </w:r>
          </w:p>
        </w:tc>
        <w:tc>
          <w:tcPr>
            <w:tcW w:w="160" w:type="dxa"/>
            <w:vAlign w:val="bottom"/>
            <w:gridSpan w:val="2"/>
            <w:shd w:val="clear" w:color="auto" w:fill="CFF0FC"/>
          </w:tcPr>
          <w:p>
            <w:pPr>
              <w:spacing w:after="0" w:line="169"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(32,737)</w:t>
            </w:r>
          </w:p>
        </w:tc>
        <w:tc>
          <w:tcPr>
            <w:tcW w:w="1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(26,671)</w:t>
            </w:r>
          </w:p>
        </w:tc>
        <w:tc>
          <w:tcPr>
            <w:tcW w:w="0" w:type="dxa"/>
            <w:vAlign w:val="bottom"/>
          </w:tcPr>
          <w:p>
            <w:pPr>
              <w:spacing w:after="0"/>
              <w:rPr>
                <w:sz w:val="1"/>
                <w:szCs w:val="1"/>
                <w:color w:val="auto"/>
              </w:rPr>
            </w:pPr>
          </w:p>
        </w:tc>
      </w:tr>
      <w:tr>
        <w:trPr>
          <w:trHeight w:val="162"/>
        </w:trPr>
        <w:tc>
          <w:tcPr>
            <w:tcW w:w="2640" w:type="dxa"/>
            <w:vAlign w:val="bottom"/>
          </w:tcPr>
          <w:p>
            <w:pPr>
              <w:ind w:left="260"/>
              <w:spacing w:after="0" w:line="162" w:lineRule="exact"/>
              <w:rPr>
                <w:sz w:val="20"/>
                <w:szCs w:val="20"/>
                <w:color w:val="auto"/>
              </w:rPr>
            </w:pPr>
            <w:r>
              <w:rPr>
                <w:rFonts w:ascii="Arial" w:cs="Arial" w:eastAsia="Arial" w:hAnsi="Arial"/>
                <w:sz w:val="15"/>
                <w:szCs w:val="15"/>
                <w:color w:val="auto"/>
              </w:rPr>
              <w:t>Issuance of common stock</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ind w:left="360"/>
              <w:spacing w:after="0" w:line="162" w:lineRule="exact"/>
              <w:rPr>
                <w:sz w:val="20"/>
                <w:szCs w:val="20"/>
                <w:color w:val="auto"/>
              </w:rPr>
            </w:pPr>
            <w:r>
              <w:rPr>
                <w:rFonts w:ascii="Arial" w:cs="Arial" w:eastAsia="Arial" w:hAnsi="Arial"/>
                <w:sz w:val="15"/>
                <w:szCs w:val="15"/>
                <w:color w:val="auto"/>
              </w:rPr>
              <w:t>upon exercise of stock</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40" w:type="dxa"/>
            <w:vAlign w:val="bottom"/>
          </w:tcPr>
          <w:p>
            <w:pPr>
              <w:ind w:left="360"/>
              <w:spacing w:after="0"/>
              <w:rPr>
                <w:sz w:val="20"/>
                <w:szCs w:val="20"/>
                <w:color w:val="auto"/>
              </w:rPr>
            </w:pPr>
            <w:r>
              <w:rPr>
                <w:rFonts w:ascii="Arial" w:cs="Arial" w:eastAsia="Arial" w:hAnsi="Arial"/>
                <w:sz w:val="15"/>
                <w:szCs w:val="15"/>
                <w:color w:val="auto"/>
              </w:rPr>
              <w:t>options</w:t>
            </w: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513,140</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237</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4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Stock-based compensation</w:t>
            </w:r>
          </w:p>
        </w:tc>
        <w:tc>
          <w:tcPr>
            <w:tcW w:w="9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6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40" w:type="dxa"/>
            <w:vAlign w:val="bottom"/>
            <w:shd w:val="clear" w:color="auto" w:fill="CFF0FC"/>
          </w:tcPr>
          <w:p>
            <w:pPr>
              <w:ind w:left="360"/>
              <w:spacing w:after="0"/>
              <w:rPr>
                <w:sz w:val="20"/>
                <w:szCs w:val="20"/>
                <w:color w:val="auto"/>
              </w:rPr>
            </w:pPr>
            <w:r>
              <w:rPr>
                <w:rFonts w:ascii="Arial" w:cs="Arial" w:eastAsia="Arial" w:hAnsi="Arial"/>
                <w:sz w:val="15"/>
                <w:szCs w:val="15"/>
                <w:color w:val="auto"/>
              </w:rPr>
              <w:t>expense</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849</w:t>
            </w: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40" w:type="dxa"/>
            <w:vAlign w:val="bottom"/>
          </w:tcPr>
          <w:p>
            <w:pPr>
              <w:ind w:left="260"/>
              <w:spacing w:after="0"/>
              <w:rPr>
                <w:sz w:val="20"/>
                <w:szCs w:val="20"/>
                <w:color w:val="auto"/>
              </w:rPr>
            </w:pPr>
            <w:r>
              <w:rPr>
                <w:rFonts w:ascii="Arial" w:cs="Arial" w:eastAsia="Arial" w:hAnsi="Arial"/>
                <w:sz w:val="15"/>
                <w:szCs w:val="15"/>
                <w:color w:val="auto"/>
              </w:rPr>
              <w:t>Other comprehensive loss</w:t>
            </w: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5"/>
                <w:szCs w:val="15"/>
                <w:color w:val="auto"/>
              </w:rPr>
              <w:t>(82)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176"/>
        </w:trPr>
        <w:tc>
          <w:tcPr>
            <w:tcW w:w="2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loss</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gridSpan w:val="2"/>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(1,340)</w:t>
            </w:r>
          </w:p>
        </w:tc>
        <w:tc>
          <w:tcPr>
            <w:tcW w:w="1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(1,340)</w:t>
            </w: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5"/>
                <w:szCs w:val="15"/>
                <w:color w:val="auto"/>
              </w:rPr>
              <w:t>Balance as of April 30, 2018</w:t>
            </w: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40" w:type="dxa"/>
            <w:vAlign w:val="bottom"/>
            <w:vMerge w:val="continue"/>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152,665,804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159,552</w:t>
            </w:r>
          </w:p>
        </w:tc>
        <w:tc>
          <w:tcPr>
            <w:tcW w:w="2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9" w:lineRule="exact"/>
              <w:rPr>
                <w:sz w:val="20"/>
                <w:szCs w:val="20"/>
                <w:color w:val="auto"/>
              </w:rPr>
            </w:pPr>
            <w:r>
              <w:rPr>
                <w:rFonts w:ascii="Arial" w:cs="Arial" w:eastAsia="Arial" w:hAnsi="Arial"/>
                <w:sz w:val="15"/>
                <w:szCs w:val="15"/>
                <w:color w:val="auto"/>
              </w:rPr>
              <w:t>83,122,778</w:t>
            </w:r>
          </w:p>
        </w:tc>
        <w:tc>
          <w:tcPr>
            <w:tcW w:w="220" w:type="dxa"/>
            <w:vAlign w:val="bottom"/>
          </w:tcPr>
          <w:p>
            <w:pPr>
              <w:spacing w:after="0"/>
              <w:rPr>
                <w:sz w:val="14"/>
                <w:szCs w:val="14"/>
                <w:color w:val="auto"/>
              </w:rPr>
            </w:pPr>
          </w:p>
        </w:tc>
        <w:tc>
          <w:tcPr>
            <w:tcW w:w="120" w:type="dxa"/>
            <w:vAlign w:val="bottom"/>
            <w:gridSpan w:val="2"/>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81</w:t>
            </w:r>
          </w:p>
        </w:tc>
        <w:tc>
          <w:tcPr>
            <w:tcW w:w="20" w:type="dxa"/>
            <w:vAlign w:val="bottom"/>
          </w:tcPr>
          <w:p>
            <w:pPr>
              <w:spacing w:after="0"/>
              <w:rPr>
                <w:sz w:val="14"/>
                <w:szCs w:val="14"/>
                <w:color w:val="auto"/>
              </w:rPr>
            </w:pPr>
          </w:p>
        </w:tc>
        <w:tc>
          <w:tcPr>
            <w:tcW w:w="30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7,603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gridSpan w:val="2"/>
          </w:tcPr>
          <w:p>
            <w:pPr>
              <w:spacing w:after="0" w:line="169" w:lineRule="exact"/>
              <w:rPr>
                <w:sz w:val="20"/>
                <w:szCs w:val="20"/>
                <w:color w:val="auto"/>
              </w:rPr>
            </w:pPr>
            <w:r>
              <w:rPr>
                <w:rFonts w:ascii="Arial" w:cs="Arial" w:eastAsia="Arial" w:hAnsi="Arial"/>
                <w:sz w:val="15"/>
                <w:szCs w:val="15"/>
                <w:color w:val="auto"/>
              </w:rPr>
              <w:t>$</w:t>
            </w:r>
          </w:p>
        </w:tc>
        <w:tc>
          <w:tcPr>
            <w:tcW w:w="1000" w:type="dxa"/>
            <w:vAlign w:val="bottom"/>
            <w:gridSpan w:val="3"/>
          </w:tcPr>
          <w:p>
            <w:pPr>
              <w:jc w:val="right"/>
              <w:ind w:right="180"/>
              <w:spacing w:after="0" w:line="169" w:lineRule="exact"/>
              <w:rPr>
                <w:sz w:val="20"/>
                <w:szCs w:val="20"/>
                <w:color w:val="auto"/>
              </w:rPr>
            </w:pPr>
            <w:r>
              <w:rPr>
                <w:rFonts w:ascii="Arial" w:cs="Arial" w:eastAsia="Arial" w:hAnsi="Arial"/>
                <w:sz w:val="15"/>
                <w:szCs w:val="15"/>
                <w:color w:val="auto"/>
              </w:rPr>
              <w:t>(613)</w:t>
            </w:r>
          </w:p>
        </w:tc>
        <w:tc>
          <w:tcPr>
            <w:tcW w:w="160" w:type="dxa"/>
            <w:vAlign w:val="bottom"/>
            <w:gridSpan w:val="2"/>
          </w:tcPr>
          <w:p>
            <w:pPr>
              <w:spacing w:after="0" w:line="169"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(34,077)</w:t>
            </w:r>
          </w:p>
        </w:tc>
        <w:tc>
          <w:tcPr>
            <w:tcW w:w="14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(27,006)</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line="236" w:lineRule="auto"/>
        <w:rPr>
          <w:sz w:val="20"/>
          <w:szCs w:val="20"/>
          <w:color w:val="auto"/>
        </w:rPr>
      </w:pPr>
      <w:r>
        <w:rPr>
          <w:rFonts w:ascii="Arial" w:cs="Arial" w:eastAsia="Arial" w:hAnsi="Arial"/>
          <w:sz w:val="14"/>
          <w:szCs w:val="14"/>
          <w:b w:val="1"/>
          <w:bCs w:val="1"/>
          <w:color w:val="auto"/>
        </w:rPr>
        <w:t>April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86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Net income (loss)</w:t>
            </w:r>
          </w:p>
        </w:tc>
        <w:tc>
          <w:tcPr>
            <w:tcW w:w="940" w:type="dxa"/>
            <w:vAlign w:val="bottom"/>
          </w:tcPr>
          <w:p>
            <w:pPr>
              <w:jc w:val="right"/>
              <w:ind w:right="78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2,214</w:t>
            </w:r>
          </w:p>
        </w:tc>
        <w:tc>
          <w:tcPr>
            <w:tcW w:w="280" w:type="dxa"/>
            <w:vAlign w:val="bottom"/>
          </w:tcPr>
          <w:p>
            <w:pPr>
              <w:spacing w:after="0"/>
              <w:rPr>
                <w:sz w:val="19"/>
                <w:szCs w:val="19"/>
                <w:color w:val="auto"/>
              </w:rPr>
            </w:pP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deferred contract acquisition costs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Amortization of operating lease right-of-use assets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Provision for accounts receivable allowances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(16,103)</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(13,359)</w:t>
            </w:r>
          </w:p>
        </w:tc>
        <w:tc>
          <w:tcPr>
            <w:tcW w:w="0" w:type="dxa"/>
            <w:vAlign w:val="bottom"/>
          </w:tcPr>
          <w:p>
            <w:pPr>
              <w:spacing w:after="0"/>
              <w:rPr>
                <w:sz w:val="1"/>
                <w:szCs w:val="1"/>
                <w:color w:val="auto"/>
              </w:rPr>
            </w:pP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9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(8,617)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contract acquisition costs</w:t>
            </w: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(14,434)</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(9,121)</w:t>
            </w:r>
          </w:p>
        </w:tc>
        <w:tc>
          <w:tcPr>
            <w:tcW w:w="0" w:type="dxa"/>
            <w:vAlign w:val="bottom"/>
          </w:tcPr>
          <w:p>
            <w:pPr>
              <w:spacing w:after="0"/>
              <w:rPr>
                <w:sz w:val="1"/>
                <w:szCs w:val="1"/>
                <w:color w:val="auto"/>
              </w:rPr>
            </w:pP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4,373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23,557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liabilities, net</w:t>
            </w: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60" w:type="dxa"/>
            <w:vAlign w:val="bottom"/>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22,236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Purchases of marketable securities</w:t>
            </w:r>
          </w:p>
        </w:tc>
        <w:tc>
          <w:tcPr>
            <w:tcW w:w="9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(23,312)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(15,500)</w:t>
            </w: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Maturities of marketable securities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(6,897)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initial public offering and private placement, net of</w:t>
            </w: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underwriting discounts and commissions and other offering costs</w:t>
            </w: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543,471</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 net of repurchases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Principal payments on capital lease obligations</w:t>
            </w: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545,252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566,169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 beginning of period</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65,968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940" w:type="dxa"/>
            <w:vAlign w:val="bottom"/>
            <w:tcBorders>
              <w:bottom w:val="single" w:sz="8" w:color="auto"/>
            </w:tcBorders>
            <w:shd w:val="clear" w:color="auto" w:fill="CFF0FC"/>
          </w:tcPr>
          <w:p>
            <w:pPr>
              <w:jc w:val="right"/>
              <w:ind w:right="78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632,137</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32,185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cash, cash equivalents, and restricted cash within the condensed</w:t>
            </w: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86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140"/>
              <w:spacing w:after="0"/>
              <w:rPr>
                <w:sz w:val="20"/>
                <w:szCs w:val="20"/>
                <w:color w:val="auto"/>
              </w:rPr>
            </w:pPr>
            <w:r>
              <w:rPr>
                <w:rFonts w:ascii="Arial" w:cs="Arial" w:eastAsia="Arial" w:hAnsi="Arial"/>
                <w:sz w:val="18"/>
                <w:szCs w:val="18"/>
                <w:b w:val="1"/>
                <w:bCs w:val="1"/>
                <w:color w:val="auto"/>
              </w:rPr>
              <w:t>consolidated balance sheets to the amounts shown in the statements of</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60" w:type="dxa"/>
            <w:vAlign w:val="bottom"/>
          </w:tcPr>
          <w:p>
            <w:pPr>
              <w:ind w:left="140"/>
              <w:spacing w:after="0"/>
              <w:rPr>
                <w:sz w:val="20"/>
                <w:szCs w:val="20"/>
                <w:color w:val="auto"/>
              </w:rPr>
            </w:pPr>
            <w:r>
              <w:rPr>
                <w:rFonts w:ascii="Arial" w:cs="Arial" w:eastAsia="Arial" w:hAnsi="Arial"/>
                <w:sz w:val="18"/>
                <w:szCs w:val="18"/>
                <w:b w:val="1"/>
                <w:bCs w:val="1"/>
                <w:color w:val="auto"/>
              </w:rPr>
              <w:t>cash flows above:</w:t>
            </w: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FF0FC"/>
          </w:tcPr>
          <w:p>
            <w:pPr>
              <w:jc w:val="right"/>
              <w:ind w:right="78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629,793</w:t>
            </w:r>
          </w:p>
        </w:tc>
        <w:tc>
          <w:tcPr>
            <w:tcW w:w="2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30"/>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Restricted cash, current included in prepaid expenses and other current assets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 non-current included in other assets, non-current</w:t>
            </w: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260"/>
              <w:spacing w:after="0"/>
              <w:rPr>
                <w:sz w:val="20"/>
                <w:szCs w:val="20"/>
                <w:color w:val="auto"/>
              </w:rPr>
            </w:pPr>
            <w:r>
              <w:rPr>
                <w:rFonts w:ascii="Arial" w:cs="Arial" w:eastAsia="Arial" w:hAnsi="Arial"/>
                <w:sz w:val="18"/>
                <w:szCs w:val="18"/>
                <w:color w:val="auto"/>
              </w:rPr>
              <w:t>Total cash, cash equivalents, and restricted cash</w:t>
            </w:r>
          </w:p>
        </w:tc>
        <w:tc>
          <w:tcPr>
            <w:tcW w:w="940" w:type="dxa"/>
            <w:vAlign w:val="bottom"/>
            <w:tcBorders>
              <w:bottom w:val="single" w:sz="8" w:color="auto"/>
            </w:tcBorders>
          </w:tcPr>
          <w:p>
            <w:pPr>
              <w:jc w:val="right"/>
              <w:ind w:right="78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632,137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jc w:val="center"/>
        <w:ind w:left="260" w:right="2740"/>
        <w:spacing w:after="0" w:line="275" w:lineRule="auto"/>
        <w:rPr>
          <w:sz w:val="20"/>
          <w:szCs w:val="20"/>
          <w:color w:val="auto"/>
        </w:rPr>
      </w:pPr>
      <w:r>
        <w:rPr>
          <w:rFonts w:ascii="Arial" w:cs="Arial" w:eastAsia="Arial" w:hAnsi="Arial"/>
          <w:sz w:val="18"/>
          <w:szCs w:val="18"/>
          <w:b w:val="1"/>
          <w:bCs w:val="1"/>
          <w:color w:val="auto"/>
        </w:rPr>
        <w:t>ZOOM VIDEO COMMUNICATIONS, INC. NOTES TO CONDENSED CONSOLIDATED FINANCIAL STATEMENTS (unaudited)</w:t>
      </w:r>
    </w:p>
    <w:p>
      <w:pPr>
        <w:spacing w:after="0" w:line="394"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Business and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117"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Zoom Video Communications, Inc. and its subsidiaries (together, Zoom, the Company, we, us, or our) provide a video-first, unified communications platform. Our platform combines video, audio, phone, screen sharing, and chat functionalities. We were incorporated in the state of Delaware in April 2011 and are headquartered in San Jose, California.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fiscal year ends on January 31. References to fiscal 2020, for example, refer to the fiscal year ending January 31,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 and Private Placement</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7"/>
          <w:szCs w:val="17"/>
          <w:color w:val="auto"/>
        </w:rPr>
        <w:t>On April 23, 2019, we completed our initial public offering (IPO), in which we issued and sold 9,911,434 shares of our Class A common stock at $36.00 per share, resulting in net proceeds of $340.8 million after deducting underwriting discounts and commissions. On April 18, 2019, the underwriters exercised their option to purchase an additional 3,130,435 shares of our Class A common stock at $36.00 per share. This transaction closed on April 23, 2019, resulting in additional proceeds of $107.1 million, net of underwriters' discounts and commissions. In connection with the IPO:</w:t>
      </w:r>
    </w:p>
    <w:p>
      <w:pPr>
        <w:spacing w:after="0" w:line="55" w:lineRule="exact"/>
        <w:rPr>
          <w:sz w:val="20"/>
          <w:szCs w:val="20"/>
          <w:color w:val="auto"/>
        </w:rPr>
      </w:pPr>
    </w:p>
    <w:p>
      <w:pPr>
        <w:ind w:left="10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of the shares of convertible preferred stock outstanding automatically converted into an aggregate of 152,665,804 shares of Class B common stock;</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outstanding convertible promissory notes and accrued interest automatically converted into 426,223 shares of Class A common stock based on the IPO price of $36.00 per share; and</w:t>
      </w:r>
    </w:p>
    <w:p>
      <w:pPr>
        <w:spacing w:after="0" w:line="62" w:lineRule="exact"/>
        <w:rPr>
          <w:rFonts w:ascii="Arial" w:cs="Arial" w:eastAsia="Arial" w:hAnsi="Arial"/>
          <w:sz w:val="18"/>
          <w:szCs w:val="18"/>
          <w:color w:val="auto"/>
        </w:rPr>
      </w:pPr>
    </w:p>
    <w:p>
      <w:pPr>
        <w:ind w:left="1040" w:right="100" w:hanging="519"/>
        <w:spacing w:after="0" w:line="26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Salesforce Ventures LLC purchased 2,777,777 shares of Class A common stock from us at $36.00 per share in a concurrent private placement. We received aggregate proceeds of $100.0 million and did not pay any underwriting discounts or commissions with respect to the shares of Class A common stock that were sold in this private placement.</w:t>
      </w:r>
    </w:p>
    <w:p>
      <w:pPr>
        <w:spacing w:after="0" w:line="181"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Deferred offering costs consist primarily of accounting, legal, and other fees related to our IPO. Prior to the IPO, all deferred offering costs were capitalized in other assets, non-current in the condensed consolidated balance sheets. After the IPO, $6.4 million of deferred offering costs were reclassified into stockholders’ equity as a reduction of the IPO proceeds in the condensed consolidated balance sheets. We capitalized $2.4 million of deferred offering costs within other assets, non-current in the condensed consolidated balance sheet as of January 31, 2019.</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of America (GAAP) and applicable regulations of the Securities and Exchange Commission (SEC) regarding interim financial reporting, and include the accounts of Zoom Video Communications, Inc. and its subsidiaries. All intercompany balances and transactions have been eliminated in consolidation.</w:t>
      </w:r>
    </w:p>
    <w:p>
      <w:pPr>
        <w:spacing w:after="0" w:line="187"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color w:val="auto"/>
        </w:rPr>
        <w:t>The unaudited condensed consolidated balance sheet as of January 31, 2019 included herein was derived from the audited financial statements as of that date, but does not include all disclosures including certain notes required by GAAP on an annual reporting basis. The unaudited condensed consolidated financial statements reflect all normal recurring adjustments necessary to present fairly the balance sheets, statements of operations, statements of comprehensive income (loss), statements of convertible preferred stock and stockholders’ equity (deficit), and statements of cash flows for the interim periods, but are not necessarily indicative of the results of operations to be anticipated for the full fiscal year or any future period.</w:t>
      </w:r>
    </w:p>
    <w:p>
      <w:pPr>
        <w:spacing w:after="0" w:line="158"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unaudited condensed consolidated financial statements should be read in conjunction with the audited consolidated financial statements and notes included in our final prospectus dated April 17, 2019 (Prospectus) filed with the SEC pursuant to Rule 424(b) under the Securities Act of 1933, as amended.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Actual results could differ from those estimates. Significant items subject to such estimates and assumptions include, but are not limited to, the estimated expected benefit period for deferred contract acquisition costs, the accounts receivable allowances, the useful lives of long-lived assets, the incremental borrowing rate for operating leases, the valuation of derivative liabilities, the value of common stock and other assumptions used to measure stock-based compensation expense, sales and other tax liabilities, the valuation of deferred income tax assets and uncertain tax positions. Actual results could differ from those estimates.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Our significant accounting policies are discussed in Note 1. “Summary of Business and Significant Accounting Policies” in the Notes to Consolidated Financial Statements in our Prospectus. There have been no significant changes to these policies during the three months ended April 30, 2019, except as noted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auto"/>
        </w:rPr>
        <w:t>All significant lease arrangements are generally recognized at lease commencement. Operating lease right-of-use (ROU) assets and operating lease liabilities are recognized at commencement. For short term leases (an initial term of 12 months or less), a ROU asset and corresponding lease liability are not recorded and we record rent expense in our condensed consolidated statements of operations on a straight-line basis over the lease term and record variable lease payments as incurred. ROU assets represent our right to use an underlying asset during the reasonably certain lease term and lease liabilities represent our obligation to make lease payments arising from the lease. Our lease terms may include options to extend or terminate the lease when it is reasonably certain that we will exercise that option. Operating lease ROU assets and liabilities are recognized at commencement date based on the present value of fixed payments not yet paid over the lease term. We use our incremental borrowing rate based on the information available at the commencement date in determining the lease liabilities as our leases generally do not provide an implicit rate. ROU assets also include any initial direct costs incurred and any lease payments made at or before the lease commencement date, less lease incentives received. We currently do not have any finance leases.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firstLine="518"/>
        <w:spacing w:after="0" w:line="284"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No. 2016-02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which supersedes FASB ASC Topic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 and makes other conforming amendments to GAAP. ASU 2016-02 requires, among other changes to the lease accounting guidance, lessees to recognize most leases on-balance sheet via a right-of-use asset and lease liability, and additional qualitative and quantitative disclosures. ASU 2016-02 is effective for the annual periods in fiscal years beginning after December 15, 2018, and interim periods therein. We adopted the standard as of February 1, 2019 using the modified retrospective method of applying the new standard at the adoption date. Under this approach, we will continue to report comparative periods presented in the period of adoption under ASC 840. We have elected the package of practical expedients permitted under the transition guidance within the new standard, which allows us to (1) carry forward the historical lease classification,</w:t>
      </w:r>
    </w:p>
    <w:p>
      <w:pPr>
        <w:spacing w:after="0" w:line="3" w:lineRule="exact"/>
        <w:rPr>
          <w:sz w:val="20"/>
          <w:szCs w:val="20"/>
          <w:color w:val="auto"/>
        </w:rPr>
      </w:pPr>
    </w:p>
    <w:p>
      <w:pPr>
        <w:ind w:right="40" w:firstLine="8"/>
        <w:spacing w:after="0" w:line="292"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not reassess whether any expired or existing contracts contain leases, and (3) not reassess indirect costs for any existing leases. This election allows us to account for lease components (e.g., fixed payments or variable payments that depend on a rate that can be determined at commencement, including rent for the right to use the asset) together with nonlease components (e.g., other fixed payments that deliver a good or service including common-area maintenance costs) in the calculation of the right-of-use asset and corresponding liability. Adoption of this standard resulted in the recording of ROU assets and total liabilities of $40.5 million and $43.0 million, respectively, with no material impact on retained earnings as of February 1, 2019. See Note 7 for further details.</w:t>
      </w:r>
    </w:p>
    <w:p>
      <w:pPr>
        <w:spacing w:after="0" w:line="163"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xml:space="preserve"> (ASU 2018-07). The standard simplifies the accounting for share-based payments granted to nonemployees for goods and services and aligns most of the guidance on such payments to nonemployees with the requirements for share-based payments granted to employees. ASU 2018-07 is effective for the annual periods in fiscal years beginning after December 15, 2018, and interim periods therein, using a modified retrospective approach. We adopted ASU 2018-07 as of February 1, 2019, and our adoption did not have a material impact on the condensed consolidated financial statements.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0" w:name="page11"/>
    <w:bookmarkEnd w:id="10"/>
    <w:p>
      <w:pPr>
        <w:ind w:firstLine="518"/>
        <w:spacing w:after="0" w:line="255" w:lineRule="auto"/>
        <w:rPr>
          <w:sz w:val="20"/>
          <w:szCs w:val="20"/>
          <w:color w:val="auto"/>
        </w:rPr>
      </w:pPr>
      <w:r>
        <w:rPr>
          <w:rFonts w:ascii="Arial" w:cs="Arial" w:eastAsia="Arial" w:hAnsi="Arial"/>
          <w:sz w:val="18"/>
          <w:szCs w:val="18"/>
          <w:color w:val="auto"/>
        </w:rPr>
        <w:t xml:space="preserve">In August 2018, the FASB issued ASU No. 2018-13 (Topic 820), </w:t>
      </w:r>
      <w:r>
        <w:rPr>
          <w:rFonts w:ascii="Arial" w:cs="Arial" w:eastAsia="Arial" w:hAnsi="Arial"/>
          <w:sz w:val="18"/>
          <w:szCs w:val="18"/>
          <w:i w:val="1"/>
          <w:iCs w:val="1"/>
          <w:color w:val="auto"/>
        </w:rPr>
        <w:t>Fair Value Measurement: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The standard no longer requires disclosure of the amount and reasons for transfers between Level</w:t>
      </w:r>
      <w:r>
        <w:rPr>
          <w:rFonts w:ascii="Arial" w:cs="Arial" w:eastAsia="Arial" w:hAnsi="Arial"/>
          <w:sz w:val="18"/>
          <w:szCs w:val="18"/>
          <w:i w:val="1"/>
          <w:iCs w:val="1"/>
          <w:color w:val="auto"/>
        </w:rPr>
        <w:t xml:space="preserve"> </w:t>
      </w:r>
      <w:r>
        <w:rPr>
          <w:rFonts w:ascii="Arial" w:cs="Arial" w:eastAsia="Arial" w:hAnsi="Arial"/>
          <w:sz w:val="18"/>
          <w:szCs w:val="18"/>
          <w:color w:val="auto"/>
        </w:rPr>
        <w:t>1 and Level 2 of the fair value hierarchy, however public companies will be required to disclose the range and weighted-average used to develop significant unobservable inputs for Level 3 fair value measurements. ASU 2018-13 is effective for the annual periods in fiscal years beginning after December 15, 2019, and interim periods therein, with early adoption permitted. We adopted ASU 2018-13 as of February 1, 2019, and our adoption did not have a material impact on the condensed consolidated financial statements.</w:t>
      </w:r>
    </w:p>
    <w:p>
      <w:pPr>
        <w:spacing w:after="0" w:line="301"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revenue by region based on the billing address of customers: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jc w:val="center"/>
              <w:ind w:right="360"/>
              <w:spacing w:after="0"/>
              <w:rPr>
                <w:sz w:val="20"/>
                <w:szCs w:val="20"/>
                <w:color w:val="auto"/>
              </w:rPr>
            </w:pPr>
            <w:r>
              <w:rPr>
                <w:rFonts w:ascii="Arial" w:cs="Arial" w:eastAsia="Arial" w:hAnsi="Arial"/>
                <w:sz w:val="14"/>
                <w:szCs w:val="14"/>
                <w:b w:val="1"/>
                <w:bCs w:val="1"/>
                <w:color w:val="auto"/>
                <w:w w:val="96"/>
              </w:rPr>
              <w:t>Three Months Ended April 30,</w:t>
            </w:r>
          </w:p>
        </w:tc>
        <w:tc>
          <w:tcPr>
            <w:tcW w:w="9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9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80" w:type="dxa"/>
            <w:vAlign w:val="bottom"/>
          </w:tcPr>
          <w:p>
            <w:pPr>
              <w:jc w:val="right"/>
              <w:ind w:right="39"/>
              <w:spacing w:after="0" w:line="133" w:lineRule="exact"/>
              <w:rPr>
                <w:sz w:val="20"/>
                <w:szCs w:val="20"/>
                <w:color w:val="auto"/>
              </w:rPr>
            </w:pPr>
            <w:r>
              <w:rPr>
                <w:rFonts w:ascii="Arial" w:cs="Arial" w:eastAsia="Arial" w:hAnsi="Arial"/>
                <w:sz w:val="14"/>
                <w:szCs w:val="14"/>
                <w:b w:val="1"/>
                <w:bCs w:val="1"/>
                <w:color w:val="auto"/>
                <w:w w:val="90"/>
              </w:rPr>
              <w:t>Percentage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980" w:type="dxa"/>
            <w:vAlign w:val="bottom"/>
          </w:tcPr>
          <w:p>
            <w:pPr>
              <w:jc w:val="right"/>
              <w:ind w:right="36"/>
              <w:spacing w:after="0" w:line="133" w:lineRule="exact"/>
              <w:rPr>
                <w:sz w:val="20"/>
                <w:szCs w:val="20"/>
                <w:color w:val="auto"/>
              </w:rPr>
            </w:pPr>
            <w:r>
              <w:rPr>
                <w:rFonts w:ascii="Arial" w:cs="Arial" w:eastAsia="Arial" w:hAnsi="Arial"/>
                <w:sz w:val="14"/>
                <w:szCs w:val="14"/>
                <w:b w:val="1"/>
                <w:bCs w:val="1"/>
                <w:color w:val="auto"/>
                <w:w w:val="90"/>
              </w:rPr>
              <w:t>Percentage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Revenue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156"/>
        </w:trPr>
        <w:tc>
          <w:tcPr>
            <w:tcW w:w="29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580" w:type="dxa"/>
            <w:vAlign w:val="bottom"/>
            <w:tcBorders>
              <w:top w:val="single" w:sz="8" w:color="auto"/>
            </w:tcBorders>
            <w:gridSpan w:val="7"/>
          </w:tcPr>
          <w:p>
            <w:pPr>
              <w:jc w:val="center"/>
              <w:ind w:right="360"/>
              <w:spacing w:after="0" w:line="155" w:lineRule="exact"/>
              <w:rPr>
                <w:sz w:val="20"/>
                <w:szCs w:val="20"/>
                <w:color w:val="auto"/>
              </w:rPr>
            </w:pPr>
            <w:r>
              <w:rPr>
                <w:rFonts w:ascii="Arial" w:cs="Arial" w:eastAsia="Arial" w:hAnsi="Arial"/>
                <w:sz w:val="14"/>
                <w:szCs w:val="14"/>
                <w:b w:val="1"/>
                <w:bCs w:val="1"/>
                <w:color w:val="auto"/>
                <w:w w:val="89"/>
              </w:rPr>
              <w:t>(in thousands, except percentages)</w:t>
            </w:r>
          </w:p>
        </w:tc>
        <w:tc>
          <w:tcPr>
            <w:tcW w:w="9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24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98,160</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80%</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49,559</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APAC</w:t>
            </w:r>
          </w:p>
        </w:tc>
        <w:tc>
          <w:tcPr>
            <w:tcW w:w="2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10,441</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4,742</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EMEA</w:t>
            </w:r>
          </w:p>
        </w:tc>
        <w:tc>
          <w:tcPr>
            <w:tcW w:w="2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13,387</w:t>
            </w:r>
          </w:p>
        </w:tc>
        <w:tc>
          <w:tcPr>
            <w:tcW w:w="2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5,769</w:t>
            </w:r>
          </w:p>
        </w:tc>
        <w:tc>
          <w:tcPr>
            <w:tcW w:w="2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240"/>
              <w:spacing w:after="0"/>
              <w:rPr>
                <w:sz w:val="20"/>
                <w:szCs w:val="20"/>
                <w:color w:val="auto"/>
              </w:rPr>
            </w:pPr>
            <w:r>
              <w:rPr>
                <w:rFonts w:ascii="Arial" w:cs="Arial" w:eastAsia="Arial" w:hAnsi="Arial"/>
                <w:sz w:val="18"/>
                <w:szCs w:val="18"/>
                <w:color w:val="auto"/>
              </w:rPr>
              <w:t>Total</w:t>
            </w:r>
          </w:p>
        </w:tc>
        <w:tc>
          <w:tcPr>
            <w:tcW w:w="228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121,988</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60,070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on the condensed consolidated balance sheets was $6.9 million and $7.2 million as of April 30, 2019 and January 31, 2019, respectively.</w:t>
      </w:r>
    </w:p>
    <w:p>
      <w:pPr>
        <w:spacing w:after="0" w:line="154"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Contract liabilities consist of deferred revenue. Revenue is deferred when we have the right to invoice in advance of performance under a customer contract. The current portion of deferred revenue balances are recognized over the next 12 months. The amount of revenue recognized during the three months ended April 30, 2019 and 2018 that was included in deferred revenue at the beginning of each period was $53.6 million and $23.3 million,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terms of our subscription agreements are monthly, annual, and multi-year, and we may bill for the full term in advance or on an annual or monthly basis, depending on the customer preference. As of April 30, 2019, the aggregate amount of the transaction price allocated to remaining performance obligations was $376.5 million, which consists of both billed consideration in the amount of $149.3 million and unbilled consideration in the amount of $227.2 million that we expect to recognize as revenue. We expect to recognize 64% of our remaining performance obligations as revenue over the next 12 months, and the remainder thereafter.</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1" w:name="page12"/>
    <w:bookmarkEnd w:id="11"/>
    <w:p>
      <w:pPr>
        <w:ind w:left="1040" w:hanging="519"/>
        <w:spacing w:after="0"/>
        <w:tabs>
          <w:tab w:leader="none" w:pos="10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April 30, 2019 and January 31, 2019, our marketable securities consisted of the following:</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w w:val="95"/>
              </w:rPr>
              <w:t>April 30, 2019</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840" w:type="dxa"/>
            <w:vAlign w:val="bottom"/>
          </w:tcPr>
          <w:p>
            <w:pPr>
              <w:jc w:val="center"/>
              <w:ind w:left="88"/>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3"/>
              </w:rPr>
              <w:t>Gross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97"/>
              <w:spacing w:after="0" w:line="133" w:lineRule="exact"/>
              <w:rPr>
                <w:sz w:val="20"/>
                <w:szCs w:val="20"/>
                <w:color w:val="auto"/>
              </w:rPr>
            </w:pPr>
            <w:r>
              <w:rPr>
                <w:rFonts w:ascii="Arial" w:cs="Arial" w:eastAsia="Arial" w:hAnsi="Arial"/>
                <w:sz w:val="14"/>
                <w:szCs w:val="14"/>
                <w:b w:val="1"/>
                <w:bCs w:val="1"/>
                <w:color w:val="auto"/>
                <w:w w:val="92"/>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84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520" w:type="dxa"/>
            <w:vAlign w:val="bottom"/>
            <w:tcBorders>
              <w:top w:val="single" w:sz="8" w:color="auto"/>
            </w:tcBorders>
            <w:gridSpan w:val="6"/>
          </w:tcPr>
          <w:p>
            <w:pPr>
              <w:jc w:val="center"/>
              <w:ind w:right="2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53,717</w:t>
            </w:r>
          </w:p>
        </w:tc>
        <w:tc>
          <w:tcPr>
            <w:tcW w:w="1060" w:type="dxa"/>
            <w:vAlign w:val="bottom"/>
            <w:gridSpan w:val="2"/>
            <w:shd w:val="clear" w:color="auto" w:fill="CFF0FC"/>
          </w:tcPr>
          <w:p>
            <w:pPr>
              <w:jc w:val="right"/>
              <w:ind w:right="688"/>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52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w:t>
            </w: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Agency bonds</w:t>
            </w: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21,482</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agency securities</w:t>
            </w: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32,182</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15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380"/>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107,381</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72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w w:val="94"/>
              </w:rPr>
              <w:t>January 31, 2019</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9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840" w:type="dxa"/>
            <w:vAlign w:val="bottom"/>
          </w:tcPr>
          <w:p>
            <w:pPr>
              <w:jc w:val="center"/>
              <w:ind w:left="88"/>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3"/>
              </w:rPr>
              <w:t>Gross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97"/>
              <w:spacing w:after="0" w:line="133" w:lineRule="exact"/>
              <w:rPr>
                <w:sz w:val="20"/>
                <w:szCs w:val="20"/>
                <w:color w:val="auto"/>
              </w:rPr>
            </w:pPr>
            <w:r>
              <w:rPr>
                <w:rFonts w:ascii="Arial" w:cs="Arial" w:eastAsia="Arial" w:hAnsi="Arial"/>
                <w:sz w:val="14"/>
                <w:szCs w:val="14"/>
                <w:b w:val="1"/>
                <w:bCs w:val="1"/>
                <w:color w:val="auto"/>
                <w:w w:val="92"/>
              </w:rPr>
              <w:t>Estimated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84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520" w:type="dxa"/>
            <w:vAlign w:val="bottom"/>
            <w:tcBorders>
              <w:top w:val="single" w:sz="8" w:color="auto"/>
            </w:tcBorders>
            <w:gridSpan w:val="6"/>
          </w:tcPr>
          <w:p>
            <w:pPr>
              <w:jc w:val="center"/>
              <w:ind w:right="24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w:t>
            </w:r>
          </w:p>
        </w:tc>
        <w:tc>
          <w:tcPr>
            <w:tcW w:w="1060" w:type="dxa"/>
            <w:vAlign w:val="bottom"/>
            <w:gridSpan w:val="2"/>
            <w:shd w:val="clear" w:color="auto" w:fill="CFF0FC"/>
          </w:tcPr>
          <w:p>
            <w:pPr>
              <w:jc w:val="right"/>
              <w:ind w:right="688"/>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Corporate bonds</w:t>
            </w: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53,267</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53,214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Agency bonds</w:t>
            </w:r>
          </w:p>
        </w:tc>
        <w:tc>
          <w:tcPr>
            <w:tcW w:w="1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32,675</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(71)</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24,028</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Treasury bills</w:t>
            </w:r>
          </w:p>
        </w:tc>
        <w:tc>
          <w:tcPr>
            <w:tcW w:w="142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w:t>
            </w:r>
          </w:p>
        </w:tc>
        <w:tc>
          <w:tcPr>
            <w:tcW w:w="220" w:type="dxa"/>
            <w:vAlign w:val="bottom"/>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380"/>
              <w:spacing w:after="0"/>
              <w:rPr>
                <w:sz w:val="20"/>
                <w:szCs w:val="20"/>
                <w:color w:val="auto"/>
              </w:rPr>
            </w:pPr>
            <w:r>
              <w:rPr>
                <w:rFonts w:ascii="Arial" w:cs="Arial" w:eastAsia="Arial" w:hAnsi="Arial"/>
                <w:sz w:val="18"/>
                <w:szCs w:val="18"/>
                <w:color w:val="auto"/>
              </w:rPr>
              <w:t>Total</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112,912</w:t>
            </w:r>
          </w:p>
        </w:tc>
        <w:tc>
          <w:tcPr>
            <w:tcW w:w="106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112,777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review the individual securities that have unrealized losses on a regular basis to evaluate whether or not any security has experienced an other-than-temporary decline in fair value. We evaluate, among other factors, whether we have the intention to sell any of these marketable securities and whether it is more likely than not that we will be required to sell any of them before recovery of the amortized cost basis. Based on the available evidence, we concluded that the gross unrealized losses on the marketable securities as of April 30, 2019 and January 31, 2019, are temporary in nature. There were no material realized gains or losses from available-for-sale securities that were reclassified out of accumulated other comprehensive loss for the three months ended April 30, 2019 and 2018.</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contractual maturities of our marketable securities as of April 30, 2019 and January 31, 2019:</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060" w:type="dxa"/>
            <w:vAlign w:val="bottom"/>
            <w:tcBorders>
              <w:bottom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220"/>
              <w:spacing w:after="0" w:line="133" w:lineRule="exact"/>
              <w:rPr>
                <w:sz w:val="20"/>
                <w:szCs w:val="20"/>
                <w:color w:val="auto"/>
              </w:rPr>
            </w:pPr>
            <w:r>
              <w:rPr>
                <w:rFonts w:ascii="Arial" w:cs="Arial" w:eastAsia="Arial" w:hAnsi="Arial"/>
                <w:sz w:val="14"/>
                <w:szCs w:val="14"/>
                <w:b w:val="1"/>
                <w:bCs w:val="1"/>
                <w:color w:val="auto"/>
              </w:rPr>
              <w:t>April 30,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197"/>
              <w:spacing w:after="0" w:line="133" w:lineRule="exact"/>
              <w:rPr>
                <w:sz w:val="20"/>
                <w:szCs w:val="20"/>
                <w:color w:val="auto"/>
              </w:rPr>
            </w:pPr>
            <w:r>
              <w:rPr>
                <w:rFonts w:ascii="Arial" w:cs="Arial" w:eastAsia="Arial" w:hAnsi="Arial"/>
                <w:sz w:val="14"/>
                <w:szCs w:val="14"/>
                <w:b w:val="1"/>
                <w:bCs w:val="1"/>
                <w:color w:val="auto"/>
                <w:w w:val="98"/>
              </w:rPr>
              <w:t>January 31,</w:t>
            </w: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4"/>
          </w:tcPr>
          <w:p>
            <w:pPr>
              <w:jc w:val="right"/>
              <w:ind w:right="777"/>
              <w:spacing w:after="0" w:line="155" w:lineRule="exact"/>
              <w:rPr>
                <w:sz w:val="20"/>
                <w:szCs w:val="20"/>
                <w:color w:val="auto"/>
              </w:rPr>
            </w:pPr>
            <w:r>
              <w:rPr>
                <w:rFonts w:ascii="Arial" w:cs="Arial" w:eastAsia="Arial" w:hAnsi="Arial"/>
                <w:sz w:val="14"/>
                <w:szCs w:val="14"/>
                <w:b w:val="1"/>
                <w:bCs w:val="1"/>
                <w:color w:val="auto"/>
              </w:rPr>
              <w:t>(in thousands)</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Less than one year</w:t>
            </w:r>
          </w:p>
        </w:tc>
        <w:tc>
          <w:tcPr>
            <w:tcW w:w="28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87,589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85,077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in one to five years</w:t>
            </w:r>
          </w:p>
        </w:tc>
        <w:tc>
          <w:tcPr>
            <w:tcW w:w="26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19,800</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8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26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107,389</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112,777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40" w:type="dxa"/>
            <w:vAlign w:val="bottom"/>
            <w:vMerge w:val="restart"/>
          </w:tcPr>
          <w:p>
            <w:pPr>
              <w:jc w:val="right"/>
              <w:ind w:right="1290"/>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90" w:right="219" w:bottom="1440" w:gutter="0" w:footer="0" w:header="0"/>
        </w:sectPr>
      </w:pPr>
    </w:p>
    <w:bookmarkStart w:id="12" w:name="page13"/>
    <w:bookmarkEnd w:id="12"/>
    <w:p>
      <w:pPr>
        <w:ind w:left="1040" w:hanging="519"/>
        <w:spacing w:after="0"/>
        <w:tabs>
          <w:tab w:leader="none" w:pos="104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The following table presents information about our financial instruments that are measured at fair value on a recurring basis using the input categories further discussed in Note 1. “Summary of Business and Significant Accounting Policies” in the Notes to Consolidated Financial Statements in our Prospectus: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center"/>
              <w:ind w:right="91"/>
              <w:spacing w:after="0"/>
              <w:rPr>
                <w:sz w:val="20"/>
                <w:szCs w:val="20"/>
                <w:color w:val="auto"/>
              </w:rPr>
            </w:pPr>
            <w:r>
              <w:rPr>
                <w:rFonts w:ascii="Arial" w:cs="Arial" w:eastAsia="Arial" w:hAnsi="Arial"/>
                <w:sz w:val="14"/>
                <w:szCs w:val="14"/>
                <w:b w:val="1"/>
                <w:bCs w:val="1"/>
                <w:color w:val="auto"/>
                <w:w w:val="95"/>
              </w:rPr>
              <w:t>April 30, 2019</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Fair Value</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r>
      <w:tr>
        <w:trPr>
          <w:trHeight w:val="156"/>
        </w:trPr>
        <w:tc>
          <w:tcPr>
            <w:tcW w:w="4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20" w:type="dxa"/>
            <w:vAlign w:val="bottom"/>
            <w:gridSpan w:val="4"/>
          </w:tcPr>
          <w:p>
            <w:pPr>
              <w:jc w:val="center"/>
              <w:ind w:right="111"/>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Money market funds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202,605</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202,605</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Treasury bills</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253,796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253,796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2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Cash equivalents</w:t>
            </w:r>
          </w:p>
        </w:tc>
        <w:tc>
          <w:tcPr>
            <w:tcW w:w="10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456,401</w:t>
            </w:r>
          </w:p>
        </w:tc>
        <w:tc>
          <w:tcPr>
            <w:tcW w:w="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202,605</w:t>
            </w:r>
          </w:p>
        </w:tc>
        <w:tc>
          <w:tcPr>
            <w:tcW w:w="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253,796</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53,739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53,739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Agency bonds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21,458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21,458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agency securities</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32,192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32,192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2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Marketable securities</w:t>
            </w:r>
          </w:p>
        </w:tc>
        <w:tc>
          <w:tcPr>
            <w:tcW w:w="10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107,389</w:t>
            </w:r>
          </w:p>
        </w:tc>
        <w:tc>
          <w:tcPr>
            <w:tcW w:w="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107,389</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w:t>
            </w:r>
          </w:p>
        </w:tc>
        <w:tc>
          <w:tcPr>
            <w:tcW w:w="10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42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0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Certificates of deposit</w:t>
            </w:r>
          </w:p>
        </w:tc>
        <w:tc>
          <w:tcPr>
            <w:tcW w:w="10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2,144</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42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assets, non-current</w:t>
            </w:r>
          </w:p>
        </w:tc>
        <w:tc>
          <w:tcPr>
            <w:tcW w:w="10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financial assets</w:t>
            </w:r>
          </w:p>
        </w:tc>
        <w:tc>
          <w:tcPr>
            <w:tcW w:w="10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566,134</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202,605</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363,529</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4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center"/>
              <w:ind w:right="91"/>
              <w:spacing w:after="0"/>
              <w:rPr>
                <w:sz w:val="20"/>
                <w:szCs w:val="20"/>
                <w:color w:val="auto"/>
              </w:rPr>
            </w:pPr>
            <w:r>
              <w:rPr>
                <w:rFonts w:ascii="Arial" w:cs="Arial" w:eastAsia="Arial" w:hAnsi="Arial"/>
                <w:sz w:val="14"/>
                <w:szCs w:val="14"/>
                <w:b w:val="1"/>
                <w:bCs w:val="1"/>
                <w:color w:val="auto"/>
                <w:w w:val="94"/>
              </w:rPr>
              <w:t>January 31, 2019</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Fair Value</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r>
      <w:tr>
        <w:trPr>
          <w:trHeight w:val="156"/>
        </w:trPr>
        <w:tc>
          <w:tcPr>
            <w:tcW w:w="4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20" w:type="dxa"/>
            <w:vAlign w:val="bottom"/>
            <w:gridSpan w:val="4"/>
          </w:tcPr>
          <w:p>
            <w:pPr>
              <w:jc w:val="center"/>
              <w:ind w:right="111"/>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Money market funds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2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Cash equivalents</w:t>
            </w:r>
          </w:p>
        </w:tc>
        <w:tc>
          <w:tcPr>
            <w:tcW w:w="10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Commercial paper</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53,214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53,214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Agency bonds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32,604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32,604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agency securities</w:t>
            </w: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24,017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24,017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Treasury bills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2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Marketable securities</w:t>
            </w:r>
          </w:p>
        </w:tc>
        <w:tc>
          <w:tcPr>
            <w:tcW w:w="10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112,777</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112,777</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Certificate of deposit</w:t>
            </w:r>
          </w:p>
        </w:tc>
        <w:tc>
          <w:tcPr>
            <w:tcW w:w="10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0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Certificates of deposit</w:t>
            </w:r>
          </w:p>
        </w:tc>
        <w:tc>
          <w:tcPr>
            <w:tcW w:w="10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assets, non-current</w:t>
            </w:r>
          </w:p>
        </w:tc>
        <w:tc>
          <w:tcPr>
            <w:tcW w:w="10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2,144</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63"/>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financial assets</w:t>
            </w:r>
          </w:p>
        </w:tc>
        <w:tc>
          <w:tcPr>
            <w:tcW w:w="10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115,199</w:t>
            </w:r>
          </w:p>
        </w:tc>
        <w:tc>
          <w:tcPr>
            <w:tcW w:w="2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115,121</w:t>
            </w:r>
          </w:p>
        </w:tc>
        <w:tc>
          <w:tcPr>
            <w:tcW w:w="240" w:type="dxa"/>
            <w:vAlign w:val="bottom"/>
            <w:tcBorders>
              <w:bottom w:val="single" w:sz="8" w:color="CFF0FC"/>
            </w:tcBorders>
            <w:gridSpan w:val="2"/>
          </w:tcPr>
          <w:p>
            <w:pPr>
              <w:spacing w:after="0"/>
              <w:rPr>
                <w:sz w:val="22"/>
                <w:szCs w:val="22"/>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2"/>
                <w:szCs w:val="22"/>
                <w:color w:val="auto"/>
              </w:rPr>
            </w:pPr>
          </w:p>
        </w:tc>
      </w:tr>
      <w:tr>
        <w:trPr>
          <w:trHeight w:val="210"/>
        </w:trPr>
        <w:tc>
          <w:tcPr>
            <w:tcW w:w="4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Liabilities:</w:t>
            </w: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280" w:type="dxa"/>
            <w:vAlign w:val="bottom"/>
          </w:tcPr>
          <w:p>
            <w:pPr>
              <w:spacing w:after="0"/>
              <w:rPr>
                <w:sz w:val="20"/>
                <w:szCs w:val="20"/>
                <w:color w:val="auto"/>
              </w:rPr>
            </w:pPr>
            <w:r>
              <w:rPr>
                <w:rFonts w:ascii="Arial" w:cs="Arial" w:eastAsia="Arial" w:hAnsi="Arial"/>
                <w:sz w:val="18"/>
                <w:szCs w:val="18"/>
                <w:color w:val="auto"/>
              </w:rPr>
              <w:t>Convertible promissory notes – derivative</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liabilities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163</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r>
      <w:tr>
        <w:trPr>
          <w:trHeight w:val="223"/>
        </w:trPr>
        <w:tc>
          <w:tcPr>
            <w:tcW w:w="42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Other liabilities, non-current</w:t>
            </w:r>
          </w:p>
        </w:tc>
        <w:tc>
          <w:tcPr>
            <w:tcW w:w="10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 financial liabilities</w:t>
            </w:r>
          </w:p>
        </w:tc>
        <w:tc>
          <w:tcPr>
            <w:tcW w:w="10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9"/>
                <w:szCs w:val="19"/>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We classify our highly liquid money market funds within Level 1 of the fair value hierarchy because they are valued based on quoted market prices in active markets. We classify our commercial paper, agency bonds, corporate bonds, U.S. government agency securities, treasury bills, and certificates of deposit within Level 2 because they are valued using inputs other than quoted prices which are directly or indirectly observable in the market, including readily-available pricing sources for the identical underlying security which may not be actively traded. We classify the derivative liabilities as Level 3 due to the lack of relevant observable market data over fair value inputs such as the probability-weighting of the various scenarios that can impact settlement of the arrangement. There were no transfers of financial instruments between Level 1, Level 2, and Level 3 during the periods presented.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3" w:name="page14"/>
    <w:bookmarkEnd w:id="13"/>
    <w:p>
      <w:pPr>
        <w:ind w:right="200" w:firstLine="518"/>
        <w:spacing w:after="0" w:line="308" w:lineRule="auto"/>
        <w:rPr>
          <w:sz w:val="20"/>
          <w:szCs w:val="20"/>
          <w:color w:val="auto"/>
        </w:rPr>
      </w:pPr>
      <w:r>
        <w:rPr>
          <w:rFonts w:ascii="Arial" w:cs="Arial" w:eastAsia="Arial" w:hAnsi="Arial"/>
          <w:sz w:val="17"/>
          <w:szCs w:val="17"/>
          <w:color w:val="auto"/>
        </w:rPr>
        <w:t>As discussed in Note 6 below, in connection with the IPO, the fair value of our derivative liabilities associated with our convertible promissory notes were extinguished. The following table sets forth a summary of the changes in the fair value of our Level 3 financial instruments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gridSpan w:val="7"/>
          </w:tcPr>
          <w:p>
            <w:pPr>
              <w:jc w:val="center"/>
              <w:ind w:right="640"/>
              <w:spacing w:after="0"/>
              <w:rPr>
                <w:sz w:val="20"/>
                <w:szCs w:val="20"/>
                <w:color w:val="auto"/>
              </w:rPr>
            </w:pPr>
            <w:r>
              <w:rPr>
                <w:rFonts w:ascii="Arial" w:cs="Arial" w:eastAsia="Arial" w:hAnsi="Arial"/>
                <w:sz w:val="14"/>
                <w:szCs w:val="14"/>
                <w:b w:val="1"/>
                <w:bCs w:val="1"/>
                <w:color w:val="auto"/>
                <w:w w:val="95"/>
              </w:rPr>
              <w:t>Derivative</w:t>
            </w: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40" w:type="dxa"/>
            <w:vAlign w:val="bottom"/>
            <w:gridSpan w:val="7"/>
          </w:tcPr>
          <w:p>
            <w:pPr>
              <w:jc w:val="center"/>
              <w:ind w:right="660"/>
              <w:spacing w:after="0"/>
              <w:rPr>
                <w:sz w:val="20"/>
                <w:szCs w:val="20"/>
                <w:color w:val="auto"/>
              </w:rPr>
            </w:pPr>
            <w:r>
              <w:rPr>
                <w:rFonts w:ascii="Arial" w:cs="Arial" w:eastAsia="Arial" w:hAnsi="Arial"/>
                <w:sz w:val="14"/>
                <w:szCs w:val="14"/>
                <w:b w:val="1"/>
                <w:bCs w:val="1"/>
                <w:color w:val="auto"/>
                <w:w w:val="95"/>
              </w:rPr>
              <w:t>Liabilities</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Borders>
              <w:top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5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Balance - January 31, 2019</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Extinguishment of derivative liabilities from the convertible</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promissory notes in connection with the IPO</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(163)</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April 30, 2019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45"/>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ind w:left="520"/>
              <w:spacing w:after="0"/>
              <w:rPr>
                <w:sz w:val="20"/>
                <w:szCs w:val="20"/>
                <w:color w:val="auto"/>
              </w:rPr>
            </w:pPr>
            <w:r>
              <w:rPr>
                <w:rFonts w:ascii="Arial" w:cs="Arial" w:eastAsia="Arial" w:hAnsi="Arial"/>
                <w:sz w:val="18"/>
                <w:szCs w:val="18"/>
                <w:b w:val="1"/>
                <w:bCs w:val="1"/>
                <w:i w:val="1"/>
                <w:iCs w:val="1"/>
                <w:color w:val="auto"/>
              </w:rPr>
              <w:t>5.</w:t>
            </w:r>
          </w:p>
        </w:tc>
        <w:tc>
          <w:tcPr>
            <w:tcW w:w="6320" w:type="dxa"/>
            <w:vAlign w:val="bottom"/>
            <w:gridSpan w:val="3"/>
            <w:vMerge w:val="restart"/>
          </w:tcPr>
          <w:p>
            <w:pPr>
              <w:ind w:left="200"/>
              <w:spacing w:after="0"/>
              <w:rPr>
                <w:sz w:val="20"/>
                <w:szCs w:val="20"/>
                <w:color w:val="auto"/>
              </w:rPr>
            </w:pPr>
            <w:r>
              <w:rPr>
                <w:rFonts w:ascii="Arial" w:cs="Arial" w:eastAsia="Arial" w:hAnsi="Arial"/>
                <w:sz w:val="18"/>
                <w:szCs w:val="18"/>
                <w:b w:val="1"/>
                <w:bCs w:val="1"/>
                <w:i w:val="1"/>
                <w:iCs w:val="1"/>
                <w:color w:val="auto"/>
              </w:rPr>
              <w:t>Balance Sheet Components</w:t>
            </w: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40" w:type="dxa"/>
            <w:vAlign w:val="bottom"/>
            <w:vMerge w:val="continue"/>
          </w:tcPr>
          <w:p>
            <w:pPr>
              <w:spacing w:after="0"/>
              <w:rPr>
                <w:sz w:val="24"/>
                <w:szCs w:val="24"/>
                <w:color w:val="auto"/>
              </w:rPr>
            </w:pPr>
          </w:p>
        </w:tc>
        <w:tc>
          <w:tcPr>
            <w:tcW w:w="632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60" w:type="dxa"/>
            <w:vAlign w:val="bottom"/>
            <w:gridSpan w:val="4"/>
          </w:tcPr>
          <w:p>
            <w:pPr>
              <w:spacing w:after="0"/>
              <w:rPr>
                <w:sz w:val="20"/>
                <w:szCs w:val="20"/>
                <w:color w:val="auto"/>
              </w:rPr>
            </w:pPr>
            <w:r>
              <w:rPr>
                <w:rFonts w:ascii="Arial" w:cs="Arial" w:eastAsia="Arial" w:hAnsi="Arial"/>
                <w:sz w:val="18"/>
                <w:szCs w:val="18"/>
                <w:i w:val="1"/>
                <w:iCs w:val="1"/>
                <w:color w:val="auto"/>
              </w:rPr>
              <w:t>Property and Equipment, Net</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60" w:type="dxa"/>
            <w:vAlign w:val="bottom"/>
            <w:gridSpan w:val="4"/>
          </w:tcPr>
          <w:p>
            <w:pPr>
              <w:ind w:left="520"/>
              <w:spacing w:after="0"/>
              <w:rPr>
                <w:sz w:val="20"/>
                <w:szCs w:val="20"/>
                <w:color w:val="auto"/>
              </w:rPr>
            </w:pPr>
            <w:r>
              <w:rPr>
                <w:rFonts w:ascii="Arial" w:cs="Arial" w:eastAsia="Arial" w:hAnsi="Arial"/>
                <w:sz w:val="18"/>
                <w:szCs w:val="18"/>
                <w:color w:val="auto"/>
              </w:rPr>
              <w:t>Property and equipment consisted of the following:</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tcPr>
          <w:p>
            <w:pPr>
              <w:jc w:val="center"/>
              <w:ind w:right="400"/>
              <w:spacing w:after="0" w:line="133" w:lineRule="exact"/>
              <w:rPr>
                <w:sz w:val="20"/>
                <w:szCs w:val="20"/>
                <w:color w:val="auto"/>
              </w:rPr>
            </w:pPr>
            <w:r>
              <w:rPr>
                <w:rFonts w:ascii="Arial" w:cs="Arial" w:eastAsia="Arial" w:hAnsi="Arial"/>
                <w:sz w:val="14"/>
                <w:szCs w:val="14"/>
                <w:b w:val="1"/>
                <w:bCs w:val="1"/>
                <w:color w:val="auto"/>
                <w:w w:val="97"/>
              </w:rPr>
              <w:t>April 30,</w:t>
            </w:r>
          </w:p>
        </w:tc>
        <w:tc>
          <w:tcPr>
            <w:tcW w:w="160" w:type="dxa"/>
            <w:vAlign w:val="bottom"/>
          </w:tcPr>
          <w:p>
            <w:pPr>
              <w:spacing w:after="0"/>
              <w:rPr>
                <w:sz w:val="11"/>
                <w:szCs w:val="11"/>
                <w:color w:val="auto"/>
              </w:rPr>
            </w:pPr>
          </w:p>
        </w:tc>
        <w:tc>
          <w:tcPr>
            <w:tcW w:w="980" w:type="dxa"/>
            <w:vAlign w:val="bottom"/>
            <w:gridSpan w:val="3"/>
          </w:tcPr>
          <w:p>
            <w:pPr>
              <w:jc w:val="right"/>
              <w:ind w:right="200"/>
              <w:spacing w:after="0" w:line="133" w:lineRule="exact"/>
              <w:rPr>
                <w:sz w:val="20"/>
                <w:szCs w:val="20"/>
                <w:color w:val="auto"/>
              </w:rPr>
            </w:pPr>
            <w:r>
              <w:rPr>
                <w:rFonts w:ascii="Arial" w:cs="Arial" w:eastAsia="Arial" w:hAnsi="Arial"/>
                <w:sz w:val="14"/>
                <w:szCs w:val="14"/>
                <w:b w:val="1"/>
                <w:bCs w:val="1"/>
                <w:color w:val="auto"/>
                <w:w w:val="98"/>
              </w:rPr>
              <w:t>January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60" w:type="dxa"/>
            <w:vAlign w:val="bottom"/>
            <w:gridSpan w:val="6"/>
          </w:tcPr>
          <w:p>
            <w:pPr>
              <w:jc w:val="right"/>
              <w:ind w:right="800"/>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Computer and office equipment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36,603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32,515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10,900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7,660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Software</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6,714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6,575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Furniture and fixtures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2,291</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1,993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Property and equipment, gross</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56,508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48,743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(14,784)</w:t>
            </w:r>
          </w:p>
        </w:tc>
        <w:tc>
          <w:tcPr>
            <w:tcW w:w="160" w:type="dxa"/>
            <w:vAlign w:val="bottom"/>
          </w:tcPr>
          <w:p>
            <w:pPr>
              <w:spacing w:after="0"/>
              <w:rPr>
                <w:sz w:val="19"/>
                <w:szCs w:val="19"/>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(11,468)</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40" w:type="dxa"/>
            <w:vAlign w:val="bottom"/>
            <w:tcBorders>
              <w:top w:val="single" w:sz="8" w:color="CFF0FC"/>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41,724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37,275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Depreciation and amortization expense was $3.3 million and $1.2 million for the three months ended April 30, 2019 and 2018, respectively.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060" w:type="dxa"/>
            <w:vAlign w:val="bottom"/>
            <w:tcBorders>
              <w:bottom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217"/>
              <w:spacing w:after="0" w:line="133" w:lineRule="exact"/>
              <w:rPr>
                <w:sz w:val="20"/>
                <w:szCs w:val="20"/>
                <w:color w:val="auto"/>
              </w:rPr>
            </w:pPr>
            <w:r>
              <w:rPr>
                <w:rFonts w:ascii="Arial" w:cs="Arial" w:eastAsia="Arial" w:hAnsi="Arial"/>
                <w:sz w:val="14"/>
                <w:szCs w:val="14"/>
                <w:b w:val="1"/>
                <w:bCs w:val="1"/>
                <w:color w:val="auto"/>
              </w:rPr>
              <w:t>April 30,</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194"/>
              <w:spacing w:after="0" w:line="133" w:lineRule="exact"/>
              <w:rPr>
                <w:sz w:val="20"/>
                <w:szCs w:val="20"/>
                <w:color w:val="auto"/>
              </w:rPr>
            </w:pPr>
            <w:r>
              <w:rPr>
                <w:rFonts w:ascii="Arial" w:cs="Arial" w:eastAsia="Arial" w:hAnsi="Arial"/>
                <w:sz w:val="14"/>
                <w:szCs w:val="14"/>
                <w:b w:val="1"/>
                <w:bCs w:val="1"/>
                <w:color w:val="auto"/>
                <w:w w:val="98"/>
              </w:rPr>
              <w:t>January 31,</w:t>
            </w: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4"/>
          </w:tcPr>
          <w:p>
            <w:pPr>
              <w:jc w:val="right"/>
              <w:ind w:right="774"/>
              <w:spacing w:after="0" w:line="155" w:lineRule="exact"/>
              <w:rPr>
                <w:sz w:val="20"/>
                <w:szCs w:val="20"/>
                <w:color w:val="auto"/>
              </w:rPr>
            </w:pPr>
            <w:r>
              <w:rPr>
                <w:rFonts w:ascii="Arial" w:cs="Arial" w:eastAsia="Arial" w:hAnsi="Arial"/>
                <w:sz w:val="14"/>
                <w:szCs w:val="14"/>
                <w:b w:val="1"/>
                <w:bCs w:val="1"/>
                <w:color w:val="auto"/>
              </w:rPr>
              <w:t>(in thousands)</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and benefits</w:t>
            </w:r>
          </w:p>
        </w:tc>
        <w:tc>
          <w:tcPr>
            <w:tcW w:w="18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12,004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Accrued expenses</w:t>
            </w: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13,596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current</w:t>
            </w:r>
          </w:p>
        </w:tc>
        <w:tc>
          <w:tcPr>
            <w:tcW w:w="1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w w:val="94"/>
              </w:rPr>
              <w:t>Liability for early exercise of common stock options</w:t>
            </w: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Sales and other tax liabilities</w:t>
            </w:r>
          </w:p>
        </w:tc>
        <w:tc>
          <w:tcPr>
            <w:tcW w:w="1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1,183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3,960</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8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w w:val="94"/>
              </w:rPr>
              <w:t>Accrued expenses and other current liabilities</w:t>
            </w:r>
          </w:p>
        </w:tc>
        <w:tc>
          <w:tcPr>
            <w:tcW w:w="16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47,410</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32,256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20" w:type="dxa"/>
            <w:vAlign w:val="bottom"/>
            <w:vMerge w:val="restart"/>
          </w:tcPr>
          <w:p>
            <w:pPr>
              <w:jc w:val="right"/>
              <w:ind w:right="1290"/>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Other Liabilities, Non-current: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liabilities, non-current consisted of the following:</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As of</w:t>
            </w:r>
          </w:p>
        </w:tc>
        <w:tc>
          <w:tcPr>
            <w:tcW w:w="10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3"/>
        </w:trPr>
        <w:tc>
          <w:tcPr>
            <w:tcW w:w="5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April 30,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ind w:right="134"/>
              <w:spacing w:after="0" w:line="133" w:lineRule="exact"/>
              <w:rPr>
                <w:sz w:val="20"/>
                <w:szCs w:val="20"/>
                <w:color w:val="auto"/>
              </w:rPr>
            </w:pPr>
            <w:r>
              <w:rPr>
                <w:rFonts w:ascii="Arial" w:cs="Arial" w:eastAsia="Arial" w:hAnsi="Arial"/>
                <w:sz w:val="14"/>
                <w:szCs w:val="14"/>
                <w:b w:val="1"/>
                <w:bCs w:val="1"/>
                <w:color w:val="auto"/>
                <w:w w:val="98"/>
              </w:rPr>
              <w:t>January 31,</w:t>
            </w:r>
          </w:p>
        </w:tc>
        <w:tc>
          <w:tcPr>
            <w:tcW w:w="60" w:type="dxa"/>
            <w:vAlign w:val="bottom"/>
          </w:tcPr>
          <w:p>
            <w:pPr>
              <w:spacing w:after="0"/>
              <w:rPr>
                <w:sz w:val="11"/>
                <w:szCs w:val="11"/>
                <w:color w:val="auto"/>
              </w:rPr>
            </w:pPr>
          </w:p>
        </w:tc>
      </w:tr>
      <w:tr>
        <w:trPr>
          <w:trHeight w:val="171"/>
        </w:trPr>
        <w:tc>
          <w:tcPr>
            <w:tcW w:w="5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56"/>
        </w:trPr>
        <w:tc>
          <w:tcPr>
            <w:tcW w:w="5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80" w:type="dxa"/>
            <w:vAlign w:val="bottom"/>
            <w:gridSpan w:val="5"/>
          </w:tcPr>
          <w:p>
            <w:pPr>
              <w:jc w:val="right"/>
              <w:ind w:right="714"/>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Sales and other tax liabilities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25,359</w:t>
            </w:r>
          </w:p>
        </w:tc>
        <w:tc>
          <w:tcPr>
            <w:tcW w:w="1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20,817</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Convertible promissory notes, net of debt discount</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14,858</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Deferred rent liabilities</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1,308</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tcPr>
          <w:p>
            <w:pPr>
              <w:ind w:left="380"/>
              <w:spacing w:after="0"/>
              <w:rPr>
                <w:sz w:val="20"/>
                <w:szCs w:val="20"/>
                <w:color w:val="auto"/>
              </w:rPr>
            </w:pPr>
            <w:r>
              <w:rPr>
                <w:rFonts w:ascii="Arial" w:cs="Arial" w:eastAsia="Arial" w:hAnsi="Arial"/>
                <w:sz w:val="18"/>
                <w:szCs w:val="18"/>
                <w:color w:val="auto"/>
              </w:rPr>
              <w:t>Other liabilities, non-current</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39,460</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7"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Convertible Promissory Notes</w:t>
      </w:r>
    </w:p>
    <w:p>
      <w:pPr>
        <w:spacing w:after="0" w:line="13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October 2018, we entered into a strategic partnership with Dropbox, Inc. (Dropbox), a global collaboration platform company, which involves the development of technology enabling integrated workflows for users between our platform and the Dropbox platform, as well as a strategic partnership with Atlassian, Inc. (Atlassian), a collaboration software company, which involves the development of technology enabling integrated workflows for users between our platform and Atlassian’s Jira Ops and Jira Service Desk products. A part of the strategic partnerships, we issued unsecured three-year convertible promissory notes in the principal amounts of $5.0 million and $10.0 million to Dropbox and Atlassian, respectively, which accrue simple interest at 2.75% and 5.0% per annum, respectively. Both convertible promissory notes are collectively referred to as “the convertible notes” throughout the notes to the condensed consolidated financial statements, unless otherwise stated. The terms of the convertible notes provided that they would automatically convert into shares of Class A common stock upon an IPO at a conversion price equal to the IPO price.</w:t>
      </w:r>
    </w:p>
    <w:p>
      <w:pPr>
        <w:spacing w:after="0" w:line="179"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connection with the IPO, the convertible notes and accrued interest automatically converted into 426,223 shares of Class A common stock based on the IPO price of $36.00 per share. As a result of the conversion, the related $0.2 million derivative liabilities and the $0.1 million unamortized debt discount of the convertible notes were recognized in other income, net and interest income, net, respectively, on the condensed consolidated statements of operations for the three months ended April 30, 2019.</w:t>
      </w:r>
    </w:p>
    <w:p>
      <w:pPr>
        <w:spacing w:after="0" w:line="295"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We have entered into various operating lease agreements for office space, with remaining contractual periods from less than one year to 10 years. Many of our leases contain one or more options to extend. As leases approach maturity, we consider various factors such as market conditions and the terms of any renewal options that may exist to determine whether we will renew the lease. Operating lease expense for the three months ended April 30, 2019 was $2.5 million including short-term lease expense of $0.4 million.</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balance sheet information as of April 30, 2019, related to operating leases was as follows:</w:t>
      </w:r>
    </w:p>
    <w:p>
      <w:pPr>
        <w:spacing w:after="0" w:line="21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right="59"/>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Reported as: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48,957</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Operating lease liabilities, non-current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46,056</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Borders>
              <w:bottom w:val="single" w:sz="8" w:color="CFF0FC"/>
            </w:tcBorders>
            <w:shd w:val="clear" w:color="auto" w:fill="CFF0FC"/>
          </w:tcPr>
          <w:p>
            <w:pPr>
              <w:ind w:left="460"/>
              <w:spacing w:after="0"/>
              <w:rPr>
                <w:sz w:val="20"/>
                <w:szCs w:val="20"/>
                <w:color w:val="auto"/>
              </w:rPr>
            </w:pPr>
            <w:r>
              <w:rPr>
                <w:rFonts w:ascii="Arial" w:cs="Arial" w:eastAsia="Arial" w:hAnsi="Arial"/>
                <w:sz w:val="18"/>
                <w:szCs w:val="18"/>
                <w:color w:val="auto"/>
              </w:rPr>
              <w:t>Total operating lease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51,749</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April 30, 2019, the weighted-average remaining lease term is 7.4 years and the weighted-average discount rate is 5.1%.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color w:val="auto"/>
        </w:rPr>
        <w:t>Supplemental cash flow and other information for the three months ended April 30, 2019, related to operating leases was as follows:</w:t>
      </w:r>
    </w:p>
    <w:p>
      <w:pPr>
        <w:spacing w:after="0" w:line="21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Three Months</w:t>
            </w:r>
          </w:p>
        </w:tc>
      </w:tr>
      <w:tr>
        <w:trPr>
          <w:trHeight w:val="149"/>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April 30,</w:t>
            </w:r>
          </w:p>
        </w:tc>
      </w:tr>
      <w:tr>
        <w:trPr>
          <w:trHeight w:val="171"/>
        </w:trPr>
        <w:tc>
          <w:tcPr>
            <w:tcW w:w="5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r>
      <w:tr>
        <w:trPr>
          <w:trHeight w:val="156"/>
        </w:trPr>
        <w:tc>
          <w:tcPr>
            <w:tcW w:w="5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right="63"/>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3"/>
                <w:szCs w:val="13"/>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Cash paid within operating cash flows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1,782</w:t>
            </w:r>
          </w:p>
        </w:tc>
        <w:tc>
          <w:tcPr>
            <w:tcW w:w="60" w:type="dxa"/>
            <w:vAlign w:val="bottom"/>
            <w:shd w:val="clear" w:color="auto" w:fill="CFF0FC"/>
          </w:tcPr>
          <w:p>
            <w:pPr>
              <w:spacing w:after="0"/>
              <w:rPr>
                <w:sz w:val="19"/>
                <w:szCs w:val="19"/>
                <w:color w:val="auto"/>
              </w:rPr>
            </w:pPr>
          </w:p>
        </w:tc>
      </w:tr>
      <w:tr>
        <w:trPr>
          <w:trHeight w:val="215"/>
        </w:trPr>
        <w:tc>
          <w:tcPr>
            <w:tcW w:w="5580" w:type="dxa"/>
            <w:vAlign w:val="bottom"/>
          </w:tcPr>
          <w:p>
            <w:pPr>
              <w:spacing w:after="0"/>
              <w:rPr>
                <w:sz w:val="20"/>
                <w:szCs w:val="20"/>
                <w:color w:val="auto"/>
              </w:rPr>
            </w:pPr>
            <w:r>
              <w:rPr>
                <w:rFonts w:ascii="Arial" w:cs="Arial" w:eastAsia="Arial" w:hAnsi="Arial"/>
                <w:sz w:val="18"/>
                <w:szCs w:val="18"/>
                <w:color w:val="auto"/>
              </w:rPr>
              <w:t>Operating lease right-of-use assets recognized in exchange</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580" w:type="dxa"/>
            <w:vAlign w:val="bottom"/>
          </w:tcPr>
          <w:p>
            <w:pPr>
              <w:ind w:left="120"/>
              <w:spacing w:after="0"/>
              <w:rPr>
                <w:sz w:val="20"/>
                <w:szCs w:val="20"/>
                <w:color w:val="auto"/>
              </w:rPr>
            </w:pPr>
            <w:r>
              <w:rPr>
                <w:rFonts w:ascii="Arial" w:cs="Arial" w:eastAsia="Arial" w:hAnsi="Arial"/>
                <w:sz w:val="18"/>
                <w:szCs w:val="18"/>
                <w:color w:val="auto"/>
              </w:rPr>
              <w:t>for new operating lease obligations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10,018</w:t>
            </w:r>
          </w:p>
        </w:tc>
        <w:tc>
          <w:tcPr>
            <w:tcW w:w="60" w:type="dxa"/>
            <w:vAlign w:val="bottom"/>
          </w:tcPr>
          <w:p>
            <w:pPr>
              <w:spacing w:after="0"/>
              <w:rPr>
                <w:sz w:val="20"/>
                <w:szCs w:val="20"/>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April 30, 2019, the future minimum lease payments included in the measurement of our operating lease liabilities are as follows:</w:t>
      </w:r>
    </w:p>
    <w:p>
      <w:pPr>
        <w:spacing w:after="0" w:line="21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5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April 30,</w:t>
            </w:r>
          </w:p>
        </w:tc>
      </w:tr>
      <w:tr>
        <w:trPr>
          <w:trHeight w:val="171"/>
        </w:trPr>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r>
      <w:tr>
        <w:trPr>
          <w:trHeight w:val="156"/>
        </w:trPr>
        <w:tc>
          <w:tcPr>
            <w:tcW w:w="5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right="36"/>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Year Ending January 31,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5,608</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7,794</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7,663</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7,246</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6,751</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29,058</w:t>
            </w:r>
          </w:p>
        </w:tc>
        <w:tc>
          <w:tcPr>
            <w:tcW w:w="80" w:type="dxa"/>
            <w:vAlign w:val="bottom"/>
            <w:shd w:val="clear" w:color="auto" w:fill="CFF0FC"/>
          </w:tcPr>
          <w:p>
            <w:pPr>
              <w:spacing w:after="0"/>
              <w:rPr>
                <w:sz w:val="19"/>
                <w:szCs w:val="19"/>
                <w:color w:val="auto"/>
              </w:rPr>
            </w:pPr>
          </w:p>
        </w:tc>
      </w:tr>
      <w:tr>
        <w:trPr>
          <w:trHeight w:val="223"/>
        </w:trPr>
        <w:tc>
          <w:tcPr>
            <w:tcW w:w="5560" w:type="dxa"/>
            <w:vAlign w:val="bottom"/>
          </w:tcPr>
          <w:p>
            <w:pPr>
              <w:ind w:left="240"/>
              <w:spacing w:after="0"/>
              <w:rPr>
                <w:sz w:val="20"/>
                <w:szCs w:val="20"/>
                <w:color w:val="auto"/>
              </w:rPr>
            </w:pPr>
            <w:r>
              <w:rPr>
                <w:rFonts w:ascii="Arial" w:cs="Arial" w:eastAsia="Arial" w:hAnsi="Arial"/>
                <w:sz w:val="18"/>
                <w:szCs w:val="18"/>
                <w:color w:val="auto"/>
              </w:rPr>
              <w:t>Total operating lease payments</w:t>
            </w: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64,120</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(12,371)</w:t>
            </w:r>
          </w:p>
        </w:tc>
      </w:tr>
      <w:tr>
        <w:trPr>
          <w:trHeight w:val="223"/>
        </w:trPr>
        <w:tc>
          <w:tcPr>
            <w:tcW w:w="5560" w:type="dxa"/>
            <w:vAlign w:val="bottom"/>
          </w:tcPr>
          <w:p>
            <w:pPr>
              <w:ind w:left="480"/>
              <w:spacing w:after="0"/>
              <w:rPr>
                <w:sz w:val="20"/>
                <w:szCs w:val="20"/>
                <w:color w:val="auto"/>
              </w:rPr>
            </w:pPr>
            <w:r>
              <w:rPr>
                <w:rFonts w:ascii="Arial" w:cs="Arial" w:eastAsia="Arial" w:hAnsi="Arial"/>
                <w:sz w:val="18"/>
                <w:szCs w:val="18"/>
                <w:color w:val="auto"/>
              </w:rPr>
              <w:t>Total operating lease liabilities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51,749</w:t>
            </w:r>
          </w:p>
        </w:tc>
        <w:tc>
          <w:tcPr>
            <w:tcW w:w="8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April 30, 2019, we have an additional operating lease for office space that has not yet commenced with undiscounted cash flows of $1.0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operating lease will commence in the next three months.</w:t>
      </w:r>
    </w:p>
    <w:p>
      <w:pPr>
        <w:spacing w:after="0" w:line="211" w:lineRule="exact"/>
        <w:rPr>
          <w:sz w:val="20"/>
          <w:szCs w:val="20"/>
          <w:color w:val="auto"/>
        </w:rPr>
      </w:pPr>
    </w:p>
    <w:p>
      <w:pPr>
        <w:ind w:right="80" w:firstLine="518"/>
        <w:spacing w:after="0" w:line="308" w:lineRule="auto"/>
        <w:rPr>
          <w:sz w:val="20"/>
          <w:szCs w:val="20"/>
          <w:color w:val="auto"/>
        </w:rPr>
      </w:pPr>
      <w:r>
        <w:rPr>
          <w:rFonts w:ascii="Arial" w:cs="Arial" w:eastAsia="Arial" w:hAnsi="Arial"/>
          <w:sz w:val="17"/>
          <w:szCs w:val="17"/>
          <w:color w:val="auto"/>
        </w:rPr>
        <w:t>As previously disclosed in "Note 6. Commitments and Contingencies" to Notes to Consolidated Financial Statements in our Prospectus and under the previous lease accounting standard, future minimum payments related to operating leases as of January 31, 2019 are as follows:</w:t>
      </w:r>
    </w:p>
    <w:p>
      <w:pPr>
        <w:spacing w:after="0" w:line="13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January 31,</w:t>
            </w:r>
          </w:p>
        </w:tc>
      </w:tr>
      <w:tr>
        <w:trPr>
          <w:trHeight w:val="171"/>
        </w:trPr>
        <w:tc>
          <w:tcPr>
            <w:tcW w:w="5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r>
      <w:tr>
        <w:trPr>
          <w:trHeight w:val="223"/>
        </w:trPr>
        <w:tc>
          <w:tcPr>
            <w:tcW w:w="5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 thousands)</w:t>
            </w: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Year Ending January 31,</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7,609</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7,837</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7,888</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7,514</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7,174</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18,635</w:t>
            </w:r>
          </w:p>
        </w:tc>
        <w:tc>
          <w:tcPr>
            <w:tcW w:w="60" w:type="dxa"/>
            <w:vAlign w:val="bottom"/>
            <w:shd w:val="clear" w:color="auto" w:fill="CFF0FC"/>
          </w:tcPr>
          <w:p>
            <w:pPr>
              <w:spacing w:after="0"/>
              <w:rPr>
                <w:sz w:val="19"/>
                <w:szCs w:val="19"/>
                <w:color w:val="auto"/>
              </w:rPr>
            </w:pPr>
          </w:p>
        </w:tc>
      </w:tr>
      <w:tr>
        <w:trPr>
          <w:trHeight w:val="223"/>
        </w:trPr>
        <w:tc>
          <w:tcPr>
            <w:tcW w:w="5580" w:type="dxa"/>
            <w:vAlign w:val="bottom"/>
          </w:tcPr>
          <w:p>
            <w:pPr>
              <w:ind w:left="240"/>
              <w:spacing w:after="0"/>
              <w:rPr>
                <w:sz w:val="20"/>
                <w:szCs w:val="20"/>
                <w:color w:val="auto"/>
              </w:rPr>
            </w:pPr>
            <w:r>
              <w:rPr>
                <w:rFonts w:ascii="Arial" w:cs="Arial" w:eastAsia="Arial" w:hAnsi="Arial"/>
                <w:sz w:val="18"/>
                <w:szCs w:val="18"/>
                <w:color w:val="auto"/>
              </w:rPr>
              <w:t>Total future minimum payments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56,657</w:t>
            </w:r>
          </w:p>
        </w:tc>
        <w:tc>
          <w:tcPr>
            <w:tcW w:w="6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Rent expense during the three months ended April 30, 2018 was $1.4 million.</w:t>
      </w:r>
    </w:p>
    <w:p>
      <w:pPr>
        <w:spacing w:after="0" w:line="333"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Convertible Preferred Stock, Stockholders’ Equity (Deficit) and Equity Incentive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Preferred Stock</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Upon completion of the IPO, all shares of convertible preferred stock outstanding, totaling 152,665,804 shares, were automatically converted into an equivalent number of shares of Class B common stock on a one-to-one basis and their carrying value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of $159.6 million was reclassified into stockholders’ equity. As of April 30, 2019, there were no shares of convertible preferred stock issued and outstanding.</w:t>
      </w:r>
    </w:p>
    <w:p>
      <w:pPr>
        <w:spacing w:after="0" w:line="248"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In connection with the IPO, our Amended and Restated Certificate of Incorporation (COI) became effective, which authorized the issuance of 200,000,000 shares of undesignated preferred stock with a par value of $0.001 with rights and preferences, including voting rights, designated from time to time by our board of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Our Amended and Restated COI also authorized the issuance of 2,000,000,000 shares of Class A common stock, $0.001 par value per share and 300,000,000 shares of Class B common stock, $0.001 par value per share. Class A and Class B common stock are referred to as common stock throughout the notes to the condensed consolidated financial statements, unless otherwise noted.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Plans</w:t>
      </w:r>
    </w:p>
    <w:p>
      <w:pPr>
        <w:spacing w:after="0" w:line="117"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In 2011, we adopted the 2011 Global Share Plan (2011 Plan), under which officers, employees, and consultants may be granted various forms of equity incentive compensation at the discretion of the board of directors, including stock options and restricted stock awards. The awards have varying terms, but generally vest over four years, and are issued at the Fair Market Value (as defined in the 2011 Plan) of the shares of common stock on the date of grant. Certain awards provide for accelerated vesting if there is a Change in Control (as defined in the 2011 Plan). As of January 31, 2019, our board of directors had authorized 71,240,000 shares of common stock to be reserved for grants of awards under the 2011 Plan. As of January 31, 2019, stock options covering 35,064,465 shares of our Class B common stock were outstanding and the remaining number of shares available for future issuance was 1,848,100 under the 2011 Plan. In connection with the IPO, the shares of Class B common stock remaining available for issuance under the 2011 Plan became available for issuance for a corresponding number of shares of our Class A common stock under the 2019 Equity Incentive Plan (2019 Plan).</w:t>
      </w:r>
    </w:p>
    <w:p>
      <w:pPr>
        <w:spacing w:after="0" w:line="166" w:lineRule="exact"/>
        <w:rPr>
          <w:sz w:val="20"/>
          <w:szCs w:val="20"/>
          <w:color w:val="auto"/>
        </w:rPr>
      </w:pPr>
    </w:p>
    <w:p>
      <w:pPr>
        <w:ind w:right="240" w:firstLine="518"/>
        <w:spacing w:after="0" w:line="269" w:lineRule="auto"/>
        <w:rPr>
          <w:sz w:val="20"/>
          <w:szCs w:val="20"/>
          <w:color w:val="auto"/>
        </w:rPr>
      </w:pPr>
      <w:r>
        <w:rPr>
          <w:rFonts w:ascii="Arial" w:cs="Arial" w:eastAsia="Arial" w:hAnsi="Arial"/>
          <w:sz w:val="17"/>
          <w:szCs w:val="17"/>
          <w:color w:val="auto"/>
        </w:rPr>
        <w:t>In April 2019, we adopted the 2019 Plan, which is a successor to and continuation of our 2011 Plan. Our 2019 Plan provides for the grant of stock options, stock appreciation rights, restricted stock awards, restricted stock unit awards, performance awards, and other forms of awards. The maximum number of shares of our Class A common stock that may be issued under our 2019 Plan will not exceed 58,300,889 shares of our Class A common stock, which is the sum of (1) 34,000,000 new shares, plus (2) an additional number of shares not to exceed 24,300,889, consisting of (A) shares that remain available for the issuance of awards under our 2011 Plan as of immediately prior to the time our 2019 Plan becomes effective and (B) shares of Class B common stock subject to outstanding stock options or other stock awards granted under our 2011 Plan that, on or after the 2019 Plan becomes effective, terminate or expire prior to exercise or settlement; are not issued because the award is settled in cash; are forfeited because of the failure to vest; or are reacquired or withheld (or not issued) to satisfy a tax withholding obligation or the purchase or exercise price, if any, as such shares become available from time to time. In addition, the number of shares of our Class A common stock reserved for issuance under our 2019 Plan will automatically increase on February 1 of each calendar year, starting on February 1, 2020 through February 1, 2029, in an amount equal to (i) 5% of the total number of shares of our common stock (both Class A and Class B) outstanding on January 31 of the fiscal year before the date of each automatic increase, or (ii) a lesser number of shares determined by our board of directors prior to the applicable February 1.</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under our equity incentive plan and related information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2"/>
          </w:tcPr>
          <w:p>
            <w:pPr>
              <w:jc w:val="right"/>
              <w:ind w:right="521"/>
              <w:spacing w:after="0"/>
              <w:rPr>
                <w:sz w:val="20"/>
                <w:szCs w:val="20"/>
                <w:color w:val="auto"/>
              </w:rPr>
            </w:pPr>
            <w:r>
              <w:rPr>
                <w:rFonts w:ascii="Arial" w:cs="Arial" w:eastAsia="Arial" w:hAnsi="Arial"/>
                <w:sz w:val="14"/>
                <w:szCs w:val="14"/>
                <w:b w:val="1"/>
                <w:bCs w:val="1"/>
                <w:color w:val="auto"/>
              </w:rPr>
              <w:t>Options Outstanding</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258"/>
              <w:spacing w:after="0"/>
              <w:rPr>
                <w:sz w:val="20"/>
                <w:szCs w:val="20"/>
                <w:color w:val="auto"/>
              </w:rPr>
            </w:pPr>
            <w:r>
              <w:rPr>
                <w:rFonts w:ascii="Arial" w:cs="Arial" w:eastAsia="Arial" w:hAnsi="Arial"/>
                <w:sz w:val="14"/>
                <w:szCs w:val="14"/>
                <w:b w:val="1"/>
                <w:bCs w:val="1"/>
                <w:color w:val="auto"/>
                <w:w w:val="91"/>
              </w:rPr>
              <w:t>Weighted-</w:t>
            </w:r>
          </w:p>
        </w:tc>
        <w:tc>
          <w:tcPr>
            <w:tcW w:w="1180" w:type="dxa"/>
            <w:vAlign w:val="bottom"/>
          </w:tcPr>
          <w:p>
            <w:pPr>
              <w:jc w:val="center"/>
              <w:ind w:right="1"/>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4"/>
                <w:szCs w:val="14"/>
                <w:color w:val="auto"/>
              </w:rPr>
            </w:pPr>
          </w:p>
        </w:tc>
        <w:tc>
          <w:tcPr>
            <w:tcW w:w="1080" w:type="dxa"/>
            <w:vAlign w:val="bottom"/>
          </w:tcPr>
          <w:p>
            <w:pPr>
              <w:jc w:val="center"/>
              <w:ind w:right="258"/>
              <w:spacing w:after="0"/>
              <w:rPr>
                <w:sz w:val="20"/>
                <w:szCs w:val="20"/>
                <w:color w:val="auto"/>
              </w:rPr>
            </w:pPr>
            <w:r>
              <w:rPr>
                <w:rFonts w:ascii="Arial" w:cs="Arial" w:eastAsia="Arial" w:hAnsi="Arial"/>
                <w:sz w:val="14"/>
                <w:szCs w:val="14"/>
                <w:b w:val="1"/>
                <w:bCs w:val="1"/>
                <w:color w:val="auto"/>
                <w:w w:val="90"/>
              </w:rPr>
              <w:t>Average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4"/>
                <w:szCs w:val="14"/>
                <w:color w:val="auto"/>
              </w:rPr>
            </w:pPr>
          </w:p>
        </w:tc>
        <w:tc>
          <w:tcPr>
            <w:tcW w:w="1080" w:type="dxa"/>
            <w:vAlign w:val="bottom"/>
          </w:tcPr>
          <w:p>
            <w:pPr>
              <w:jc w:val="center"/>
              <w:ind w:right="238"/>
              <w:spacing w:after="0"/>
              <w:rPr>
                <w:sz w:val="20"/>
                <w:szCs w:val="20"/>
                <w:color w:val="auto"/>
              </w:rPr>
            </w:pPr>
            <w:r>
              <w:rPr>
                <w:rFonts w:ascii="Arial" w:cs="Arial" w:eastAsia="Arial" w:hAnsi="Arial"/>
                <w:sz w:val="14"/>
                <w:szCs w:val="14"/>
                <w:b w:val="1"/>
                <w:bCs w:val="1"/>
                <w:color w:val="auto"/>
                <w:w w:val="90"/>
              </w:rPr>
              <w:t>Exercise</w:t>
            </w:r>
          </w:p>
        </w:tc>
        <w:tc>
          <w:tcPr>
            <w:tcW w:w="1180" w:type="dxa"/>
            <w:vAlign w:val="bottom"/>
          </w:tcPr>
          <w:p>
            <w:pPr>
              <w:jc w:val="center"/>
              <w:ind w:right="1"/>
              <w:spacing w:after="0"/>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Intrinsic</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4"/>
                <w:szCs w:val="14"/>
                <w:color w:val="auto"/>
              </w:rPr>
            </w:pPr>
          </w:p>
        </w:tc>
        <w:tc>
          <w:tcPr>
            <w:tcW w:w="1080" w:type="dxa"/>
            <w:vAlign w:val="bottom"/>
          </w:tcPr>
          <w:p>
            <w:pPr>
              <w:jc w:val="center"/>
              <w:ind w:right="238"/>
              <w:spacing w:after="0"/>
              <w:rPr>
                <w:sz w:val="20"/>
                <w:szCs w:val="20"/>
                <w:color w:val="auto"/>
              </w:rPr>
            </w:pPr>
            <w:r>
              <w:rPr>
                <w:rFonts w:ascii="Arial" w:cs="Arial" w:eastAsia="Arial" w:hAnsi="Arial"/>
                <w:sz w:val="14"/>
                <w:szCs w:val="14"/>
                <w:b w:val="1"/>
                <w:bCs w:val="1"/>
                <w:color w:val="auto"/>
                <w:w w:val="93"/>
              </w:rPr>
              <w:t>Price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2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820" w:type="dxa"/>
            <w:vAlign w:val="bottom"/>
            <w:tcBorders>
              <w:top w:val="single" w:sz="8" w:color="auto"/>
            </w:tcBorders>
            <w:gridSpan w:val="7"/>
          </w:tcPr>
          <w:p>
            <w:pPr>
              <w:jc w:val="right"/>
              <w:ind w:right="739"/>
              <w:spacing w:after="0" w:line="155" w:lineRule="exact"/>
              <w:rPr>
                <w:sz w:val="20"/>
                <w:szCs w:val="20"/>
                <w:color w:val="auto"/>
              </w:rPr>
            </w:pPr>
            <w:r>
              <w:rPr>
                <w:rFonts w:ascii="Arial" w:cs="Arial" w:eastAsia="Arial" w:hAnsi="Arial"/>
                <w:sz w:val="14"/>
                <w:szCs w:val="14"/>
                <w:b w:val="1"/>
                <w:bCs w:val="1"/>
                <w:color w:val="auto"/>
              </w:rPr>
              <w:t>(in thousands, except share, life, and per share data)</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January 31, 2019</w:t>
            </w:r>
          </w:p>
        </w:tc>
        <w:tc>
          <w:tcPr>
            <w:tcW w:w="2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35,064,465</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1.48</w:t>
            </w:r>
          </w:p>
        </w:tc>
        <w:tc>
          <w:tcPr>
            <w:tcW w:w="118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534,572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Granted</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1,324,650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98"/>
              <w:spacing w:after="0"/>
              <w:rPr>
                <w:sz w:val="20"/>
                <w:szCs w:val="20"/>
                <w:color w:val="auto"/>
              </w:rPr>
            </w:pPr>
            <w:r>
              <w:rPr>
                <w:rFonts w:ascii="Arial" w:cs="Arial" w:eastAsia="Arial" w:hAnsi="Arial"/>
                <w:sz w:val="18"/>
                <w:szCs w:val="18"/>
                <w:color w:val="auto"/>
              </w:rPr>
              <w:t>27.42</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28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(13,622,754)</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0.14</w:t>
            </w: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auto"/>
              </w:rPr>
              <w:t>Cancelled/forfeited/expired</w:t>
            </w:r>
          </w:p>
        </w:tc>
        <w:tc>
          <w:tcPr>
            <w:tcW w:w="2880" w:type="dxa"/>
            <w:vAlign w:val="bottom"/>
            <w:gridSpan w:val="3"/>
          </w:tcPr>
          <w:p>
            <w:pPr>
              <w:jc w:val="right"/>
              <w:ind w:right="80"/>
              <w:spacing w:after="0"/>
              <w:rPr>
                <w:sz w:val="20"/>
                <w:szCs w:val="20"/>
                <w:color w:val="auto"/>
              </w:rPr>
            </w:pPr>
            <w:r>
              <w:rPr>
                <w:rFonts w:ascii="Arial" w:cs="Arial" w:eastAsia="Arial" w:hAnsi="Arial"/>
                <w:sz w:val="18"/>
                <w:szCs w:val="18"/>
                <w:color w:val="auto"/>
              </w:rPr>
              <w:t>(142,301)</w:t>
            </w:r>
          </w:p>
        </w:tc>
        <w:tc>
          <w:tcPr>
            <w:tcW w:w="220" w:type="dxa"/>
            <w:vAlign w:val="bottom"/>
          </w:tcPr>
          <w:p>
            <w:pPr>
              <w:spacing w:after="0"/>
              <w:rPr>
                <w:sz w:val="19"/>
                <w:szCs w:val="19"/>
                <w:color w:val="auto"/>
              </w:rPr>
            </w:pPr>
          </w:p>
        </w:tc>
        <w:tc>
          <w:tcPr>
            <w:tcW w:w="1080" w:type="dxa"/>
            <w:vAlign w:val="bottom"/>
          </w:tcPr>
          <w:p>
            <w:pPr>
              <w:jc w:val="right"/>
              <w:ind w:right="98"/>
              <w:spacing w:after="0"/>
              <w:rPr>
                <w:sz w:val="20"/>
                <w:szCs w:val="20"/>
                <w:color w:val="auto"/>
              </w:rPr>
            </w:pPr>
            <w:r>
              <w:rPr>
                <w:rFonts w:ascii="Arial" w:cs="Arial" w:eastAsia="Arial" w:hAnsi="Arial"/>
                <w:sz w:val="18"/>
                <w:szCs w:val="18"/>
                <w:color w:val="auto"/>
              </w:rPr>
              <w:t>4.60</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April 30, 2019</w:t>
            </w:r>
          </w:p>
        </w:tc>
        <w:tc>
          <w:tcPr>
            <w:tcW w:w="17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22,624,060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FF0FC"/>
              <w:bottom w:val="single" w:sz="8" w:color="CFF0FC"/>
            </w:tcBorders>
            <w:shd w:val="clear" w:color="auto" w:fill="CFF0FC"/>
          </w:tcPr>
          <w:p>
            <w:pPr>
              <w:jc w:val="right"/>
              <w:ind w:right="98"/>
              <w:spacing w:after="0"/>
              <w:rPr>
                <w:sz w:val="20"/>
                <w:szCs w:val="20"/>
                <w:color w:val="auto"/>
              </w:rPr>
            </w:pPr>
            <w:r>
              <w:rPr>
                <w:rFonts w:ascii="Arial" w:cs="Arial" w:eastAsia="Arial" w:hAnsi="Arial"/>
                <w:sz w:val="18"/>
                <w:szCs w:val="18"/>
                <w:color w:val="auto"/>
              </w:rPr>
              <w:t>3.78</w:t>
            </w:r>
          </w:p>
        </w:tc>
        <w:tc>
          <w:tcPr>
            <w:tcW w:w="118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Arial" w:cs="Arial" w:eastAsia="Arial" w:hAnsi="Arial"/>
                <w:sz w:val="18"/>
                <w:szCs w:val="18"/>
                <w:color w:val="auto"/>
              </w:rPr>
              <w:t>8.2</w:t>
            </w:r>
          </w:p>
        </w:tc>
        <w:tc>
          <w:tcPr>
            <w:tcW w:w="2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1,554,000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ind w:left="580"/>
              <w:spacing w:after="0"/>
              <w:rPr>
                <w:sz w:val="20"/>
                <w:szCs w:val="20"/>
                <w:color w:val="auto"/>
              </w:rPr>
            </w:pPr>
            <w:r>
              <w:rPr>
                <w:rFonts w:ascii="Arial" w:cs="Arial" w:eastAsia="Arial" w:hAnsi="Arial"/>
                <w:sz w:val="18"/>
                <w:szCs w:val="18"/>
                <w:color w:val="auto"/>
              </w:rPr>
              <w:t>Vested as of April 30, 2019</w:t>
            </w:r>
          </w:p>
        </w:tc>
        <w:tc>
          <w:tcPr>
            <w:tcW w:w="2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98"/>
              <w:spacing w:after="0"/>
              <w:rPr>
                <w:sz w:val="20"/>
                <w:szCs w:val="20"/>
                <w:color w:val="auto"/>
              </w:rPr>
            </w:pPr>
            <w:r>
              <w:rPr>
                <w:rFonts w:ascii="Arial" w:cs="Arial" w:eastAsia="Arial" w:hAnsi="Arial"/>
                <w:sz w:val="18"/>
                <w:szCs w:val="18"/>
                <w:color w:val="auto"/>
              </w:rPr>
              <w:t>0.76</w:t>
            </w:r>
          </w:p>
        </w:tc>
        <w:tc>
          <w:tcPr>
            <w:tcW w:w="1180" w:type="dxa"/>
            <w:vAlign w:val="bottom"/>
            <w:vMerge w:val="restart"/>
          </w:tcPr>
          <w:p>
            <w:pPr>
              <w:jc w:val="right"/>
              <w:ind w:right="41"/>
              <w:spacing w:after="0"/>
              <w:rPr>
                <w:sz w:val="20"/>
                <w:szCs w:val="20"/>
                <w:color w:val="auto"/>
              </w:rPr>
            </w:pPr>
            <w:r>
              <w:rPr>
                <w:rFonts w:ascii="Arial" w:cs="Arial" w:eastAsia="Arial" w:hAnsi="Arial"/>
                <w:sz w:val="18"/>
                <w:szCs w:val="18"/>
                <w:color w:val="auto"/>
              </w:rPr>
              <w:t>7.1</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539,010</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vMerge w:val="continue"/>
          </w:tcPr>
          <w:p>
            <w:pPr>
              <w:spacing w:after="0"/>
              <w:rPr>
                <w:sz w:val="18"/>
                <w:szCs w:val="18"/>
                <w:color w:val="auto"/>
              </w:rPr>
            </w:pPr>
          </w:p>
        </w:tc>
        <w:tc>
          <w:tcPr>
            <w:tcW w:w="17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7,516,678</w:t>
            </w:r>
          </w:p>
        </w:tc>
        <w:tc>
          <w:tcPr>
            <w:tcW w:w="1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20" w:type="dxa"/>
            <w:vAlign w:val="bottom"/>
            <w:vMerge w:val="restart"/>
          </w:tcPr>
          <w:p>
            <w:pPr>
              <w:jc w:val="right"/>
              <w:ind w:right="50"/>
              <w:spacing w:after="0"/>
              <w:rPr>
                <w:sz w:val="20"/>
                <w:szCs w:val="20"/>
                <w:color w:val="auto"/>
              </w:rPr>
            </w:pPr>
            <w:r>
              <w:rPr>
                <w:rFonts w:ascii="Arial" w:cs="Arial" w:eastAsia="Arial" w:hAnsi="Arial"/>
                <w:sz w:val="18"/>
                <w:szCs w:val="18"/>
                <w:color w:val="auto"/>
              </w:rPr>
              <w:t>17</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7" w:name="page18"/>
    <w:bookmarkEnd w:id="17"/>
    <w:p>
      <w:pPr>
        <w:ind w:right="480" w:firstLine="518"/>
        <w:spacing w:after="0" w:line="277" w:lineRule="auto"/>
        <w:rPr>
          <w:sz w:val="20"/>
          <w:szCs w:val="20"/>
          <w:color w:val="auto"/>
        </w:rPr>
      </w:pPr>
      <w:r>
        <w:rPr>
          <w:rFonts w:ascii="Arial" w:cs="Arial" w:eastAsia="Arial" w:hAnsi="Arial"/>
          <w:sz w:val="18"/>
          <w:szCs w:val="18"/>
          <w:color w:val="auto"/>
        </w:rPr>
        <w:t>As of April 30, 2019, unrecognized stock-based compensation expense related to outstanding unvested stock options was $93.6 million, which is expected to be recognized over a weighted-average period of 3.4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Employee Stock Purchase Plan</w:t>
      </w:r>
    </w:p>
    <w:p>
      <w:pPr>
        <w:spacing w:after="0" w:line="11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In April 2019, we adopted the 2019 Employee Stock Purchase Plan (ESPP), which became effective in connection with the IPO. A total of 9,000,000 shares of our Class A common stock were initially reserved for issuance under the ESPP. The number of shares of our Class A common stock reserved for issuance will automatically increase on February 1 of each calendar year, beginning on February 1, 2020 through February 1, 2029, by the lesser of (1) 1% of the total number of shares of our common stock (both Class A and Class B) outstanding on the last day of the fiscal year before the date of the automatic increase, and (2) 7,500,000 shares; provided that before the date of any such increase, our board of directors may determine that such increase will be less than the amount set forth in clauses (1) and (2).</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Generally, all regular employees, including executive officers, employed by us or by any of our designated affiliates, except for those holding five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percent or more of the total combined voting power or value of all classes of our stock, may participate in the ESPP and may contribute, normally through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payroll deductions, up to 20% of their earnings (as defined in the ESPP) for the purchase of our Class A common stock under the ESPP. Unless otherwise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determined by our board of directors, Class A common stock will be purchased for the accounts of employees participating in the ESPP at a price per share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is at least the lesser of (1) 85% of the fair market value of a share of our Class A common stock on the first date of an offering, or (2) 85% of the fair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market value of a share of our Class A common stock on the date of purchase. No employee may purchase shares under the ESPP at a rate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$25,000 worth of our Class A common stock based on the fair market value per share of our Class A common stock at the beginning of an offering for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calendar year such purchase right is outstanding. The initial offering period began on April 18, 2019. As of April 30, 2019, no shares of our Class A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have been purchased under the ESPP.</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Exercise of Common Stock Options</w:t>
      </w:r>
    </w:p>
    <w:p>
      <w:pPr>
        <w:spacing w:after="0" w:line="117"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Our board of directors authorized certain stock option holders to exercise unvested options to purchase shares of common stock. Shares received from such early exercises are subject to repurchase in the event of the optionee’s termination of service, at the original issuance price, until the options are fully vested. As of April 30, 2019 and January 31, 2019, 697,564 and 1,261,230 shares of Class B common stock were subject to repurchase at a weighted-average price of $2.59 and $1.41 per share, respectively. As of April 30, 2019 and January 31, 2019, the cash proceeds received for unvested shares of common stock recorded within accrued expenses and other current liabilities in the condensed consolidated balance sheets were $1.8 million and $1.8 million, respectively.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w:t>
      </w:r>
    </w:p>
    <w:p>
      <w:pPr>
        <w:spacing w:after="0" w:line="117" w:lineRule="exact"/>
        <w:rPr>
          <w:sz w:val="20"/>
          <w:szCs w:val="20"/>
          <w:color w:val="auto"/>
        </w:rPr>
      </w:pPr>
    </w:p>
    <w:p>
      <w:pPr>
        <w:jc w:val="both"/>
        <w:ind w:right="60" w:firstLine="518"/>
        <w:spacing w:after="0" w:line="259" w:lineRule="auto"/>
        <w:rPr>
          <w:sz w:val="20"/>
          <w:szCs w:val="20"/>
          <w:color w:val="auto"/>
        </w:rPr>
      </w:pPr>
      <w:r>
        <w:rPr>
          <w:rFonts w:ascii="Arial" w:cs="Arial" w:eastAsia="Arial" w:hAnsi="Arial"/>
          <w:sz w:val="18"/>
          <w:szCs w:val="18"/>
          <w:color w:val="auto"/>
        </w:rPr>
        <w:t>In October 2015, we issued 1,202,720 shares of common stock to a member of our board of directors under a restricted stock agreement at a grant date fair value of $0.14 per share, totaling $0.2 million. Of the total shares issued, 481,088 shares vested on the grant date and the remaining shares vest over four years from the grant date. The unvested shares are subject to a repurchase right held by us at the original purchase price. As of April 30, 2019, 180,408 shares of common stock were unvested and subject to repurchase.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stock-based compensation expense by line item in the accompanying condensed consolidated statements of operations is summarized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360" w:type="dxa"/>
            <w:vAlign w:val="bottom"/>
            <w:tcBorders>
              <w:bottom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9"/>
                <w:szCs w:val="19"/>
                <w:color w:val="auto"/>
              </w:rPr>
            </w:pPr>
          </w:p>
        </w:tc>
        <w:tc>
          <w:tcPr>
            <w:tcW w:w="10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3"/>
          </w:tcPr>
          <w:p>
            <w:pPr>
              <w:jc w:val="right"/>
              <w:ind w:right="410"/>
              <w:spacing w:after="0"/>
              <w:rPr>
                <w:sz w:val="20"/>
                <w:szCs w:val="20"/>
                <w:color w:val="auto"/>
              </w:rPr>
            </w:pPr>
            <w:r>
              <w:rPr>
                <w:rFonts w:ascii="Arial" w:cs="Arial" w:eastAsia="Arial" w:hAnsi="Arial"/>
                <w:sz w:val="14"/>
                <w:szCs w:val="14"/>
                <w:b w:val="1"/>
                <w:bCs w:val="1"/>
                <w:color w:val="auto"/>
                <w:w w:val="97"/>
              </w:rPr>
              <w:t>(in thousands)</w:t>
            </w:r>
          </w:p>
        </w:tc>
        <w:tc>
          <w:tcPr>
            <w:tcW w:w="360" w:type="dxa"/>
            <w:vAlign w:val="bottom"/>
            <w:tcBorders>
              <w:top w:val="single" w:sz="8" w:color="auto"/>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620" w:type="dxa"/>
            <w:vAlign w:val="bottom"/>
            <w:gridSpan w:val="2"/>
            <w:shd w:val="clear" w:color="auto" w:fill="CFF0FC"/>
          </w:tcPr>
          <w:p>
            <w:pPr>
              <w:jc w:val="right"/>
              <w:ind w:right="547"/>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1020" w:type="dxa"/>
            <w:vAlign w:val="bottom"/>
            <w:gridSpan w:val="2"/>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1,164</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129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9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2,627</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6"/>
              </w:rPr>
              <w:t>396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9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2,041</w:t>
            </w:r>
          </w:p>
        </w:tc>
        <w:tc>
          <w:tcPr>
            <w:tcW w:w="1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8"/>
              </w:rPr>
              <w:t>Total stock-based compensation expense</w:t>
            </w:r>
          </w:p>
        </w:tc>
        <w:tc>
          <w:tcPr>
            <w:tcW w:w="19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6,662</w:t>
            </w:r>
          </w:p>
        </w:tc>
        <w:tc>
          <w:tcPr>
            <w:tcW w:w="1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6"/>
              </w:rPr>
              <w:t>849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920" w:type="dxa"/>
            <w:vAlign w:val="bottom"/>
            <w:vMerge w:val="restart"/>
          </w:tcPr>
          <w:p>
            <w:pPr>
              <w:jc w:val="right"/>
              <w:ind w:right="1296"/>
              <w:spacing w:after="0"/>
              <w:rPr>
                <w:sz w:val="20"/>
                <w:szCs w:val="20"/>
                <w:color w:val="auto"/>
              </w:rPr>
            </w:pPr>
            <w:r>
              <w:rPr>
                <w:rFonts w:ascii="Arial" w:cs="Arial" w:eastAsia="Arial" w:hAnsi="Arial"/>
                <w:sz w:val="18"/>
                <w:szCs w:val="18"/>
                <w:color w:val="auto"/>
              </w:rPr>
              <w:t>18</w:t>
            </w: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8" w:name="page19"/>
    <w:bookmarkEnd w:id="18"/>
    <w:p>
      <w:pPr>
        <w:ind w:left="1040" w:hanging="519"/>
        <w:spacing w:after="0"/>
        <w:tabs>
          <w:tab w:leader="none" w:pos="104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Income tax expense was $0.3 million and $0.1 million for the three months ended April 30, 2019 and 2018, respectively. Income tax expense for the three months ended April 30, 2019 are related to foreign income taxes and state minimum taxes. Based on the available objective evidence during the three months ended April 30, 2019, we believe it is more likely than not that the tax benefits of the U.S. losses incurred may not be realized. Accordingly, we recorded a full valuation allowance against the tax benefits of the U.S. losses incurred.</w:t>
      </w:r>
    </w:p>
    <w:p>
      <w:pPr>
        <w:spacing w:after="0" w:line="18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A valuation allowance is provided when it is more likely than not that some portion of the deferred tax assets will not be realized through future operations. As a result of our analysis of all available objective evidence, both positive and negative, as of April 30, 2019, we believe it is more likely than not that the deferred tax assets will not be fully realizable. Accordingly, we have provided a full valuation allowance against our deferred tax assets.</w:t>
      </w:r>
    </w:p>
    <w:p>
      <w:pPr>
        <w:spacing w:after="0" w:line="274"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(Loss) Per Share Attributable to Common Stockholders</w:t>
      </w:r>
    </w:p>
    <w:p>
      <w:pPr>
        <w:spacing w:after="0" w:line="117"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(loss) per share attributable to common stockholders for the periods presented:</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Three Months Ended April 30,</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jc w:val="right"/>
              <w:ind w:right="60"/>
              <w:spacing w:after="0" w:line="155"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ind w:left="800"/>
              <w:spacing w:after="0" w:line="155" w:lineRule="exact"/>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80" w:type="dxa"/>
            <w:vAlign w:val="bottom"/>
            <w:vMerge w:val="restart"/>
          </w:tcPr>
          <w:p>
            <w:pPr>
              <w:spacing w:after="0"/>
              <w:rPr>
                <w:sz w:val="20"/>
                <w:szCs w:val="20"/>
                <w:color w:val="auto"/>
              </w:rPr>
            </w:pPr>
            <w:r>
              <w:rPr>
                <w:rFonts w:ascii="Arial" w:cs="Arial" w:eastAsia="Arial" w:hAnsi="Arial"/>
                <w:sz w:val="16"/>
                <w:szCs w:val="16"/>
                <w:b w:val="1"/>
                <w:bCs w:val="1"/>
                <w:color w:val="auto"/>
              </w:rPr>
              <w:t>Numerator:</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Class A</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Class B</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Class A</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Class B</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5"/>
          </w:tcPr>
          <w:p>
            <w:pPr>
              <w:spacing w:after="0"/>
              <w:rPr>
                <w:sz w:val="20"/>
                <w:szCs w:val="20"/>
                <w:color w:val="auto"/>
              </w:rPr>
            </w:pPr>
            <w:r>
              <w:rPr>
                <w:rFonts w:ascii="Arial" w:cs="Arial" w:eastAsia="Arial" w:hAnsi="Arial"/>
                <w:sz w:val="14"/>
                <w:szCs w:val="14"/>
                <w:b w:val="1"/>
                <w:bCs w:val="1"/>
                <w:color w:val="auto"/>
                <w:w w:val="95"/>
              </w:rPr>
              <w:t>(in thousands, except per share data)</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2,214</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ind w:left="680"/>
              <w:spacing w:after="0"/>
              <w:rPr>
                <w:sz w:val="20"/>
                <w:szCs w:val="20"/>
                <w:color w:val="auto"/>
              </w:rPr>
            </w:pPr>
            <w:r>
              <w:rPr>
                <w:rFonts w:ascii="Arial" w:cs="Arial" w:eastAsia="Arial" w:hAnsi="Arial"/>
                <w:sz w:val="16"/>
                <w:szCs w:val="16"/>
                <w:color w:val="auto"/>
                <w:w w:val="99"/>
              </w:rPr>
              <w:t>—</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(1,340)</w:t>
            </w:r>
          </w:p>
        </w:tc>
        <w:tc>
          <w:tcPr>
            <w:tcW w:w="0" w:type="dxa"/>
            <w:vAlign w:val="bottom"/>
          </w:tcPr>
          <w:p>
            <w:pPr>
              <w:spacing w:after="0"/>
              <w:rPr>
                <w:sz w:val="1"/>
                <w:szCs w:val="1"/>
                <w:color w:val="auto"/>
              </w:rPr>
            </w:pPr>
          </w:p>
        </w:tc>
      </w:tr>
      <w:tr>
        <w:trPr>
          <w:trHeight w:val="213"/>
        </w:trPr>
        <w:tc>
          <w:tcPr>
            <w:tcW w:w="4980" w:type="dxa"/>
            <w:vAlign w:val="bottom"/>
          </w:tcPr>
          <w:p>
            <w:pPr>
              <w:spacing w:after="0"/>
              <w:rPr>
                <w:sz w:val="20"/>
                <w:szCs w:val="20"/>
                <w:color w:val="auto"/>
              </w:rPr>
            </w:pPr>
            <w:r>
              <w:rPr>
                <w:rFonts w:ascii="Arial" w:cs="Arial" w:eastAsia="Arial" w:hAnsi="Arial"/>
                <w:sz w:val="16"/>
                <w:szCs w:val="16"/>
                <w:color w:val="auto"/>
              </w:rPr>
              <w:t>Less: undistributed earnings attributable to participating securities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(2,016)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ind w:left="68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Reallocation of net income attributable to common stockholders</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(15)</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ind w:left="68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6"/>
                <w:szCs w:val="16"/>
                <w:color w:val="auto"/>
              </w:rPr>
              <w:t>Net income (loss) attributable to common stockholders, basic</w:t>
            </w: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980" w:type="dxa"/>
            <w:vAlign w:val="bottom"/>
            <w:vMerge w:val="continue"/>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183</w:t>
            </w:r>
          </w:p>
        </w:tc>
        <w:tc>
          <w:tcPr>
            <w:tcW w:w="220" w:type="dxa"/>
            <w:vAlign w:val="bottom"/>
          </w:tcPr>
          <w:p>
            <w:pPr>
              <w:spacing w:after="0"/>
              <w:rPr>
                <w:sz w:val="19"/>
                <w:szCs w:val="19"/>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ind w:left="680"/>
              <w:spacing w:after="0"/>
              <w:rPr>
                <w:sz w:val="20"/>
                <w:szCs w:val="20"/>
                <w:color w:val="auto"/>
              </w:rPr>
            </w:pPr>
            <w:r>
              <w:rPr>
                <w:rFonts w:ascii="Arial" w:cs="Arial" w:eastAsia="Arial" w:hAnsi="Arial"/>
                <w:sz w:val="16"/>
                <w:szCs w:val="16"/>
                <w:color w:val="auto"/>
                <w:w w:val="99"/>
              </w:rPr>
              <w:t>—</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(1,340)</w:t>
            </w: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Reallocation of net income attributable to common stockholders</w:t>
            </w: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98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ind w:left="68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6"/>
                <w:szCs w:val="16"/>
                <w:color w:val="auto"/>
              </w:rPr>
              <w:t>Net income (loss) attributable to common stockholders, diluted</w:t>
            </w: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980" w:type="dxa"/>
            <w:vAlign w:val="bottom"/>
            <w:vMerge w:val="continue"/>
          </w:tcPr>
          <w:p>
            <w:pPr>
              <w:spacing w:after="0"/>
              <w:rPr>
                <w:sz w:val="21"/>
                <w:szCs w:val="2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186</w:t>
            </w:r>
          </w:p>
        </w:tc>
        <w:tc>
          <w:tcPr>
            <w:tcW w:w="220" w:type="dxa"/>
            <w:vAlign w:val="bottom"/>
          </w:tcPr>
          <w:p>
            <w:pPr>
              <w:spacing w:after="0"/>
              <w:rPr>
                <w:sz w:val="21"/>
                <w:szCs w:val="21"/>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ind w:left="680"/>
              <w:spacing w:after="0"/>
              <w:rPr>
                <w:sz w:val="20"/>
                <w:szCs w:val="20"/>
                <w:color w:val="auto"/>
              </w:rPr>
            </w:pPr>
            <w:r>
              <w:rPr>
                <w:rFonts w:ascii="Arial" w:cs="Arial" w:eastAsia="Arial" w:hAnsi="Arial"/>
                <w:sz w:val="16"/>
                <w:szCs w:val="16"/>
                <w:color w:val="auto"/>
                <w:w w:val="99"/>
              </w:rPr>
              <w:t>—</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(1,340)</w:t>
            </w:r>
          </w:p>
        </w:tc>
        <w:tc>
          <w:tcPr>
            <w:tcW w:w="0" w:type="dxa"/>
            <w:vAlign w:val="bottom"/>
          </w:tcPr>
          <w:p>
            <w:pPr>
              <w:spacing w:after="0"/>
              <w:rPr>
                <w:sz w:val="1"/>
                <w:szCs w:val="1"/>
                <w:color w:val="auto"/>
              </w:rPr>
            </w:pPr>
          </w:p>
        </w:tc>
      </w:tr>
      <w:tr>
        <w:trPr>
          <w:trHeight w:val="200"/>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Denominator:</w:t>
            </w:r>
          </w:p>
        </w:tc>
        <w:tc>
          <w:tcPr>
            <w:tcW w:w="2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80" w:type="dxa"/>
            <w:vAlign w:val="bottom"/>
          </w:tcPr>
          <w:p>
            <w:pPr>
              <w:spacing w:after="0"/>
              <w:rPr>
                <w:sz w:val="20"/>
                <w:szCs w:val="20"/>
                <w:color w:val="auto"/>
              </w:rPr>
            </w:pPr>
            <w:r>
              <w:rPr>
                <w:rFonts w:ascii="Arial" w:cs="Arial" w:eastAsia="Arial" w:hAnsi="Arial"/>
                <w:sz w:val="16"/>
                <w:szCs w:val="16"/>
                <w:color w:val="auto"/>
              </w:rPr>
              <w:t>Weighted-average shares used in computing net income</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80" w:type="dxa"/>
            <w:vAlign w:val="bottom"/>
          </w:tcPr>
          <w:p>
            <w:pPr>
              <w:ind w:left="120"/>
              <w:spacing w:after="0"/>
              <w:rPr>
                <w:sz w:val="20"/>
                <w:szCs w:val="20"/>
                <w:color w:val="auto"/>
              </w:rPr>
            </w:pPr>
            <w:r>
              <w:rPr>
                <w:rFonts w:ascii="Arial" w:cs="Arial" w:eastAsia="Arial" w:hAnsi="Arial"/>
                <w:sz w:val="16"/>
                <w:szCs w:val="16"/>
                <w:color w:val="auto"/>
              </w:rPr>
              <w:t>(loss) per share attributable to common stockholders, basic</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8,393,169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101,315,729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ind w:left="68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80,623,861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Weighted-average shares used in computing net income</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(loss) per share attributable to common stockholders, diluted</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8,393,391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128,034,988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80,623,861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980" w:type="dxa"/>
            <w:vAlign w:val="bottom"/>
          </w:tcPr>
          <w:p>
            <w:pPr>
              <w:spacing w:after="0"/>
              <w:rPr>
                <w:sz w:val="20"/>
                <w:szCs w:val="20"/>
                <w:color w:val="auto"/>
              </w:rPr>
            </w:pPr>
            <w:r>
              <w:rPr>
                <w:rFonts w:ascii="Arial" w:cs="Arial" w:eastAsia="Arial" w:hAnsi="Arial"/>
                <w:sz w:val="16"/>
                <w:szCs w:val="16"/>
                <w:color w:val="auto"/>
                <w:w w:val="98"/>
              </w:rPr>
              <w:t>Net income (loss) per share attributable to common stockholders, basic</w:t>
            </w: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0.00</w:t>
            </w:r>
          </w:p>
        </w:tc>
        <w:tc>
          <w:tcPr>
            <w:tcW w:w="220" w:type="dxa"/>
            <w:vAlign w:val="bottom"/>
          </w:tcPr>
          <w:p>
            <w:pPr>
              <w:spacing w:after="0"/>
              <w:rPr>
                <w:sz w:val="19"/>
                <w:szCs w:val="19"/>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ind w:left="680"/>
              <w:spacing w:after="0"/>
              <w:rPr>
                <w:sz w:val="20"/>
                <w:szCs w:val="20"/>
                <w:color w:val="auto"/>
              </w:rPr>
            </w:pPr>
            <w:r>
              <w:rPr>
                <w:rFonts w:ascii="Arial" w:cs="Arial" w:eastAsia="Arial" w:hAnsi="Arial"/>
                <w:sz w:val="16"/>
                <w:szCs w:val="16"/>
                <w:color w:val="auto"/>
                <w:w w:val="99"/>
              </w:rPr>
              <w:t>—</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w w:val="96"/>
              </w:rPr>
              <w:t>Net income (loss) per share attributable to common stockholders, diluted</w:t>
            </w: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vMerge w:val="continue"/>
            <w:shd w:val="clear" w:color="auto" w:fill="CFF0FC"/>
          </w:tcPr>
          <w:p>
            <w:pPr>
              <w:spacing w:after="0"/>
              <w:rPr>
                <w:sz w:val="17"/>
                <w:szCs w:val="17"/>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0.00</w:t>
            </w:r>
          </w:p>
        </w:tc>
        <w:tc>
          <w:tcPr>
            <w:tcW w:w="12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0.00</w:t>
            </w:r>
          </w:p>
        </w:tc>
        <w:tc>
          <w:tcPr>
            <w:tcW w:w="22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ind w:left="680"/>
              <w:spacing w:after="0"/>
              <w:rPr>
                <w:sz w:val="20"/>
                <w:szCs w:val="20"/>
                <w:color w:val="auto"/>
              </w:rPr>
            </w:pPr>
            <w:r>
              <w:rPr>
                <w:rFonts w:ascii="Arial" w:cs="Arial" w:eastAsia="Arial" w:hAnsi="Arial"/>
                <w:sz w:val="16"/>
                <w:szCs w:val="16"/>
                <w:color w:val="auto"/>
                <w:w w:val="99"/>
              </w:rPr>
              <w:t>—</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The potential shares of common stock that were excluded from the computation of diluted net income (loss) per share attributable to common stockholders for the periods presented because including them would have been antidilutive are as follows: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As of April 30,</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5380" w:type="dxa"/>
            <w:vAlign w:val="bottom"/>
          </w:tcPr>
          <w:p>
            <w:pPr>
              <w:spacing w:after="0"/>
              <w:rPr>
                <w:sz w:val="19"/>
                <w:szCs w:val="19"/>
                <w:color w:val="auto"/>
              </w:rPr>
            </w:pPr>
          </w:p>
        </w:tc>
        <w:tc>
          <w:tcPr>
            <w:tcW w:w="13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380" w:type="dxa"/>
            <w:vAlign w:val="bottom"/>
          </w:tcPr>
          <w:p>
            <w:pPr>
              <w:spacing w:after="0"/>
              <w:rPr>
                <w:sz w:val="19"/>
                <w:szCs w:val="19"/>
                <w:color w:val="auto"/>
              </w:rPr>
            </w:pPr>
          </w:p>
        </w:tc>
        <w:tc>
          <w:tcPr>
            <w:tcW w:w="13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Class A</w:t>
            </w: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Class B</w:t>
            </w:r>
          </w:p>
        </w:tc>
        <w:tc>
          <w:tcPr>
            <w:tcW w:w="800" w:type="dxa"/>
            <w:vAlign w:val="bottom"/>
          </w:tcPr>
          <w:p>
            <w:pPr>
              <w:ind w:left="280"/>
              <w:spacing w:after="0"/>
              <w:rPr>
                <w:sz w:val="20"/>
                <w:szCs w:val="20"/>
                <w:color w:val="auto"/>
              </w:rPr>
            </w:pPr>
            <w:r>
              <w:rPr>
                <w:rFonts w:ascii="Arial" w:cs="Arial" w:eastAsia="Arial" w:hAnsi="Arial"/>
                <w:sz w:val="14"/>
                <w:szCs w:val="14"/>
                <w:b w:val="1"/>
                <w:bCs w:val="1"/>
                <w:color w:val="auto"/>
                <w:w w:val="97"/>
              </w:rPr>
              <w:t>Class A</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Class B</w:t>
            </w: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152,665,804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1020" w:type="dxa"/>
            <w:vAlign w:val="bottom"/>
          </w:tcPr>
          <w:p>
            <w:pPr>
              <w:jc w:val="right"/>
              <w:spacing w:after="0"/>
              <w:rPr>
                <w:sz w:val="20"/>
                <w:szCs w:val="20"/>
                <w:color w:val="auto"/>
              </w:rPr>
            </w:pPr>
            <w:r>
              <w:rPr>
                <w:rFonts w:ascii="Arial" w:cs="Arial" w:eastAsia="Arial" w:hAnsi="Arial"/>
                <w:sz w:val="18"/>
                <w:szCs w:val="18"/>
                <w:color w:val="auto"/>
              </w:rPr>
              <w:t>161,650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19,663</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35,724,598</w:t>
            </w:r>
          </w:p>
        </w:tc>
        <w:tc>
          <w:tcPr>
            <w:tcW w:w="100" w:type="dxa"/>
            <w:vAlign w:val="bottom"/>
          </w:tcPr>
          <w:p>
            <w:pPr>
              <w:spacing w:after="0"/>
              <w:rPr>
                <w:sz w:val="19"/>
                <w:szCs w:val="19"/>
                <w:color w:val="auto"/>
              </w:rPr>
            </w:pPr>
          </w:p>
        </w:tc>
      </w:tr>
      <w:tr>
        <w:trPr>
          <w:trHeight w:val="215"/>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Shares subject to repurchase from early exercised stock</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options and restricted stock</w:t>
            </w:r>
          </w:p>
        </w:tc>
        <w:tc>
          <w:tcPr>
            <w:tcW w:w="1380" w:type="dxa"/>
            <w:vAlign w:val="bottom"/>
            <w:gridSpan w:val="3"/>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spacing w:after="0"/>
              <w:rPr>
                <w:sz w:val="20"/>
                <w:szCs w:val="20"/>
                <w:color w:val="auto"/>
              </w:rPr>
            </w:pPr>
          </w:p>
        </w:tc>
        <w:tc>
          <w:tcPr>
            <w:tcW w:w="54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2,052,483</w:t>
            </w:r>
          </w:p>
        </w:tc>
        <w:tc>
          <w:tcPr>
            <w:tcW w:w="100" w:type="dxa"/>
            <w:vAlign w:val="bottom"/>
            <w:shd w:val="clear" w:color="auto" w:fill="CFF0FC"/>
          </w:tcPr>
          <w:p>
            <w:pPr>
              <w:spacing w:after="0"/>
              <w:rPr>
                <w:sz w:val="20"/>
                <w:szCs w:val="20"/>
                <w:color w:val="auto"/>
              </w:rPr>
            </w:pPr>
          </w:p>
        </w:tc>
      </w:tr>
      <w:tr>
        <w:trPr>
          <w:trHeight w:val="223"/>
        </w:trPr>
        <w:tc>
          <w:tcPr>
            <w:tcW w:w="5380" w:type="dxa"/>
            <w:vAlign w:val="bottom"/>
          </w:tcPr>
          <w:p>
            <w:pPr>
              <w:ind w:left="24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161,650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19,663</w:t>
            </w: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190,442,885</w:t>
            </w:r>
          </w:p>
        </w:tc>
        <w:tc>
          <w:tcPr>
            <w:tcW w:w="10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Party Transactions</w:t>
      </w:r>
    </w:p>
    <w:p>
      <w:pPr>
        <w:spacing w:after="0" w:line="131"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In September 2016, we entered into a service agreement with Veeva Systems Inc. (Veeva), a cloud-based business solutions company. The chief executive officer of Veeva serves as a director on our board of directors. Revenue recognized from services provided to Veeva was $0.3 million and $0.3 million for the three months ended April 30, 2019 and 2018,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 w:name="page20"/>
    <w:bookmarkEnd w:id="19"/>
    <w:p>
      <w:pPr>
        <w:ind w:left="1040" w:hanging="519"/>
        <w:spacing w:after="0"/>
        <w:tabs>
          <w:tab w:leader="none" w:pos="104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Subsequent to April 30, 2019, we entered into various agreements to lease and sublease additional space and to extend the terms of existing leases located in the United States. We expect to make $14.8 million of additional rent payments over the term of these subleases and leases, which expire at various dates through the year ending January 31, 2030.</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20" w:name="page21"/>
    <w:bookmarkEnd w:id="20"/>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condensed consolidated financial statements and related notes included elsewhere in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Quarterly Report on Form 10-Q.</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mission is to make video communications frictionless.</w:t>
      </w:r>
    </w:p>
    <w:p>
      <w:pPr>
        <w:spacing w:after="0" w:line="225"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provide a video-first communications platform that delivers happiness and fundamentally changes how people interact. We connect people through frictionless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physical spaces and applications. We believe that rich and reliable communications lead to interactions that build greater empathy and trust. We strive to live up to the trust our customers place in us by delivering a communications solution that “just works.” Our goal is to make Zoom meetings better than in-person meetings.</w:t>
      </w:r>
    </w:p>
    <w:p>
      <w:pPr>
        <w:spacing w:after="0" w:line="178"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We generate revenue from the sale of subscriptions to our video-first communications platform. Subscription revenue is driven primarily by the number of paid hosts, as well as purchases of additional products including Zoom Rooms, Zoom Video Webinars, and Zoom Phone. A host is any user of our video-first communications platform who initiates a Zoom Meeting and invites one or more participants to join that meeting. We refer to hosts who subscribe to a paid Zoom Meeting plan as “paid hosts.” We define a customer as a separate and distinct buying entity, which can be a single paid host or an organization of any size (including a distinct unit of an organization) that has multiple paid hosts. Our Basic offering is free and gives hosts access to Zoom Meetings with core features but with limitations on the number of attendees and time. Our paid offerings include our Pro, Business, and Enterprise plans, which provide incremental features and functionality, such as different participant limits, administrative controls, and reporting.</w:t>
      </w:r>
    </w:p>
    <w:p>
      <w:pPr>
        <w:spacing w:after="0" w:line="178"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Our revenue was $122.0 million and $60.1 million for the three months ended April 30, 2019 and 2018, respectively, representing period-over-period growth rate of 103%. We had net income of $2.2 million for the three months ended April 30, 2019 and a net loss of $1.3 million for the three months ended April 30, 2018. Net cash provided by operating activities was $22.2 million and $2.8 million for the three months ended April 30, 2019 and 2018,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1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We are focused on continuing to grow the number of customers that use our platform. Our operating results and growth prospects will depend in part on our ability to attract new customers. While we believe we have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Expansion of Zoom across existing customers</w:t>
      </w:r>
    </w:p>
    <w:p>
      <w:pPr>
        <w:spacing w:after="0" w:line="117"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We believe that there is a large opportunity for growth with many of our existing customers. Many customers have increased the size of their subscriptions as they have expanded their use of our platform across their operations. Some of our larger enterprise customers start with a single deployment of Zoom Meetings with one team, location, or geography, before rolling out our platform throughout their organization. Several of our largest customers have deployed our platform globally to their entire workforce following smaller initial deployments. This expansion in the use of our platform also provides us with opportunities to market and sell additional products to our customers, such as Zoom Rooms at each office location and enablement of Zoom Video Webinars. In order for us to address this opportunity to expand the use of our products with our existing customers, we will need to maintain the reliability of our platform and produce new features and functionality that are responsive to our customers’ requirements for enterprise grade solutions.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ind w:firstLine="518"/>
        <w:spacing w:after="0" w:line="270" w:lineRule="auto"/>
        <w:rPr>
          <w:sz w:val="20"/>
          <w:szCs w:val="20"/>
          <w:color w:val="auto"/>
        </w:rPr>
      </w:pPr>
      <w:r>
        <w:rPr>
          <w:rFonts w:ascii="Arial" w:cs="Arial" w:eastAsia="Arial" w:hAnsi="Arial"/>
          <w:sz w:val="17"/>
          <w:szCs w:val="17"/>
          <w:color w:val="auto"/>
        </w:rPr>
        <w:t>We quantify our expansion across existing customers through our net dollar expansion rate. Our net dollar expansion rate includes the increase in user adoption within our customers, as our subscription revenue is primarily driven by the number of paid hosts within a customer and the purchase of additional products, and compares our subscription revenue from the same set of customers across comparable periods. We calculate net dollar expansion rate as of a period end by starting with the annual recurring revenue (ARR) from all customers with more than 10 employees as of 12 months prior (Prior Period ARR). We define ARR as the annualized revenue run-rate of subscription agreements from all customers at a point in time. We then calculate the ARR from these customers as of the current period end (Current Period ARR), which includes any upsells, contraction, and attrition. We divide the Current Period ARR by the Prior Period ARR to arrive at the net dollar expansion rate. For the trailing 12-months calculation, we take an average of the net dollar expansion rate over the trailing 12 months. Our net dollar expansion rate may fluctuate as a result of a number of factors, including the level of penetration within our customer base, expansion of products and features, and our ability to retain our customers. Our trailing 12-month net dollar expansion rate was over 130% as of April 30, 2019 and January 31, 2019.</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Innovation and Expansion of Our Platform</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We continue to invest resources to enhance the capabilities of our platform. For example, we have recently introduced a number of product enhancements, including new features for Zoom Phone, Zoom Meetings, and Zoom Video Webinars. Third-party developers are also a key component of our strategy for platform innovation, to make it easier for customers and developers to extend our product portfolio with new functionalities. We believe that as more developers and other third parties use our platform to integrate major third-party applications, we will become the ubiquitous platform for communications. We will need to expend additional resources to continue introducing new products, features and functionality, and supporting the efforts of third parties to enhance the value of our platform with their own applications.</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International Expansion</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Our platform addresses the communications needs of users worldwide. Minimal updates are required in order to make Zoom available for foreign markets, and we see international expansion as a major opportunity. Our revenue from APAC and EMEA collectively represented 20% and 18% of our revenue for the three months ended April 30, 2019 and 2018, respectively. We plan to add local sales support in further select international markets over time. We use strategic partners and resellers to sell in international markets, such as China, where we have limited or no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We review the following key business metrics to measure our performance, identify trends, formulate financial projections, and make strategic decisions.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Customers with More Than 10 Employees</w:t>
      </w:r>
    </w:p>
    <w:p>
      <w:pPr>
        <w:spacing w:after="0" w:line="11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Increasing awareness of our platform and its broad range of capabilities has enabled us to substantially expand our customer base, which includes organizations of all sizes across industries. We define a customer as a separate and distinct buying entity, which can be a single paid host or an organization of any size (including a distinct unit of an organization) that has multiple paid hosts. To better distinguish business customers from our broader customer base, we review the number of customers with more than 10 employees. As of April 30, 2019 and 2018, we had approximately 58,500 and 31,500 customers with more than 10 employees. When disclosing the number of customers, we round down to the nearest hundred.</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Customers Contributing More Than $100,000 of Trailing 12 Months Revenue</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focus on growing the number of customers that contribute more than $100,000 of trailing 12 months revenue as a measure of our ability to scale with our customers and attract larger organizations to Zoom. Revenue from these customers represented 29% and 22% of revenue for the three months ended April 30, 2019 and 2018, respectively. As of April 30, 2019 and 2018, we had 405 and 184 customers that contributed more than $100,000 of trailing 12 months revenue, demonstrating our rapid penetration of larger organizations including enterprises. These customers are a subset of the customers with more than 10 employees.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Non-GAAP Financial Measure</w:t>
      </w:r>
    </w:p>
    <w:p>
      <w:pPr>
        <w:spacing w:after="0" w:line="135"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In addition to our results determined in accordance with GAAP, we believe that free cash flow (FCF), a non-GAAP financial measure, is useful in evaluating our liquidity.</w:t>
      </w:r>
    </w:p>
    <w:p>
      <w:pPr>
        <w:spacing w:after="0" w:line="30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We define FCF as GAAP net cash provided by operating activities less purchases of property and equipment. We believe that FCF is a liquidity measure that provides useful information regarding cash provided by operating activities and cash used for investments in property and equipment required to maintain and grow our business. FCF is presented for supplemental informational purposes only, has limitations as an analytical tool, and it should not be considered in isolation or as a substitute for analysis of other GAAP financial measures, such as net cash provided by operating activities. It is important to note that other companies, including companies in our industry, may not use this metric, may calculate this metric differently, or may use other financial measures to evaluate their performance, all of which could reduce the usefulness of this non-GAAP metric as a comparative measure.</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reconciliation of FCF to the most comparable GAAP measure, net cash provided by operating activities:</w:t>
      </w:r>
    </w:p>
    <w:p>
      <w:pPr>
        <w:spacing w:after="0" w:line="230"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Three Months Ended</w:t>
      </w:r>
    </w:p>
    <w:p>
      <w:pPr>
        <w:jc w:val="center"/>
        <w:ind w:left="5340"/>
        <w:spacing w:after="0" w:line="236" w:lineRule="auto"/>
        <w:rPr>
          <w:sz w:val="20"/>
          <w:szCs w:val="20"/>
          <w:color w:val="auto"/>
        </w:rPr>
      </w:pPr>
      <w:r>
        <w:rPr>
          <w:rFonts w:ascii="Arial" w:cs="Arial" w:eastAsia="Arial" w:hAnsi="Arial"/>
          <w:sz w:val="14"/>
          <w:szCs w:val="14"/>
          <w:b w:val="1"/>
          <w:bCs w:val="1"/>
          <w:color w:val="auto"/>
        </w:rPr>
        <w:t>April 30,</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4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22,236</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Less: purchases of property and equipment</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(6,897)</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Free cash flow (non-GAAP)</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15,339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FF0FC"/>
            </w:tcBorders>
            <w:vMerge w:val="continue"/>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20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(7,530)</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545,252</w:t>
            </w: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380" w:firstLine="518"/>
        <w:spacing w:after="0" w:line="286" w:lineRule="auto"/>
        <w:rPr>
          <w:sz w:val="20"/>
          <w:szCs w:val="20"/>
          <w:color w:val="auto"/>
        </w:rPr>
      </w:pPr>
      <w:r>
        <w:rPr>
          <w:rFonts w:ascii="Arial" w:cs="Arial" w:eastAsia="Arial" w:hAnsi="Arial"/>
          <w:sz w:val="17"/>
          <w:szCs w:val="17"/>
          <w:color w:val="auto"/>
        </w:rPr>
        <w:t>We derive our revenue from subscription agreements with customers for access to our video-first communications platform. Our customers do not have the ability to take possession of our software. We also provide services, which include professional services, consulting services, and online event hosting, which are generally considered distinct from the access to our video-first communications platform.</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Cost of revenue primarily consists of costs related to hosting our video-first communications platform and providing general operating support services to our customers. These costs are related to our co-located data centers, third-party cloud hosting, integrated third-party public switched telephone network (PSTN) services, personnel-related expenses, amortization of capitalized software development, and allocated overhead. We expect our cost of revenue to increase in absolute dollars as our revenue increases.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 We plan to increase our investment in research and development for the foreseeable future as we focus on further developing our platform and enhancing its use cases.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color w:val="auto"/>
        </w:rPr>
        <w:t>Sales and marketing expenses primarily consist of personnel-related expenses directly associated with our sales and marketing organization. Other sales and marketing expenses include promotional events to promote our brand, such as awareness programs, digital programs, tradeshows and our user conference, Zoomtopia, and allocated overhead. Sales and marketing expenses also include amortization of deferred contract acquisition costs. We plan to increase our investment in sales and marketing over the foreseeable future, primarily from increased headcount in our sales force and investment in brand-and product-marketing efforts.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General and administrative expenses primarily consist of personnel-related expenses associated with our finance, legal, and human resources organizations, professional fees for external legal, accounting and other consulting services, bad debt expense, insurance, and allocated overhead. We expect to increase the size of our general and administrative function to support the growth of our business. We also expect to incur additional expenses as a result of operating as a public company. We expect the dollar amount of our general and administrative expenses to increase for the foreseeable future.</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right="320" w:firstLine="518"/>
        <w:spacing w:after="0" w:line="308" w:lineRule="auto"/>
        <w:rPr>
          <w:sz w:val="20"/>
          <w:szCs w:val="20"/>
          <w:color w:val="auto"/>
        </w:rPr>
      </w:pPr>
      <w:r>
        <w:rPr>
          <w:rFonts w:ascii="Arial" w:cs="Arial" w:eastAsia="Arial" w:hAnsi="Arial"/>
          <w:sz w:val="17"/>
          <w:szCs w:val="17"/>
          <w:color w:val="auto"/>
        </w:rPr>
        <w:t>Interest income, net consists primarily of interest income earned on our cash equivalents and marketable securities and is partially offset by interest expenses on convertible promissory notes and the recognition of the unamortized debt discount of the convertible promissory notes.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Other income, net consists primarily of miscellaneous non-operational income and expenses and the extinguishment of derivative liabilities from the convertible promissory notes in connection with the IPO.</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Provision for income taxes consists primarily of income taxes related to foreign and state jurisdictions where we conduct business.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following tables set forth selected condensed consolidated statements of operations data and such data as a percentage of total revenue for each of the periods indicated: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left="413"/>
              <w:spacing w:after="0"/>
              <w:rPr>
                <w:sz w:val="20"/>
                <w:szCs w:val="20"/>
                <w:color w:val="auto"/>
              </w:rPr>
            </w:pPr>
            <w:r>
              <w:rPr>
                <w:rFonts w:ascii="Arial" w:cs="Arial" w:eastAsia="Arial" w:hAnsi="Arial"/>
                <w:sz w:val="14"/>
                <w:szCs w:val="14"/>
                <w:b w:val="1"/>
                <w:bCs w:val="1"/>
                <w:color w:val="auto"/>
              </w:rPr>
              <w:t>April 30,</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3"/>
          </w:tcPr>
          <w:p>
            <w:pPr>
              <w:jc w:val="center"/>
              <w:ind w:left="413"/>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121,988</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60,070</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 (1)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24,104</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11,660</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97,884</w:t>
            </w: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48,410</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gridSpan w:val="2"/>
          </w:tcPr>
          <w:p>
            <w:pPr>
              <w:ind w:left="17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(1)</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13,783</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6,264</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Sales and marketing (1)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64,041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36,261</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 (1)</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18,503</w:t>
            </w: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7,569</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96,327</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50,094</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Interest income,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gridSpan w:val="2"/>
          </w:tcPr>
          <w:p>
            <w:pPr>
              <w:ind w:left="1720"/>
              <w:spacing w:after="0"/>
              <w:rPr>
                <w:sz w:val="20"/>
                <w:szCs w:val="20"/>
                <w:color w:val="auto"/>
              </w:rPr>
            </w:pPr>
            <w:r>
              <w:rPr>
                <w:rFonts w:ascii="Arial" w:cs="Arial" w:eastAsia="Arial" w:hAnsi="Arial"/>
                <w:sz w:val="18"/>
                <w:szCs w:val="18"/>
                <w:color w:val="auto"/>
              </w:rPr>
              <w:t>Net income (loss) before provision for income taxes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(1,243)</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(316)</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gridSpan w:val="2"/>
          </w:tcPr>
          <w:p>
            <w:pPr>
              <w:ind w:left="172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2,214</w:t>
            </w: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ind w:left="1720"/>
              <w:spacing w:after="0"/>
              <w:rPr>
                <w:sz w:val="20"/>
                <w:szCs w:val="20"/>
                <w:color w:val="auto"/>
              </w:rPr>
            </w:pPr>
            <w:r>
              <w:rPr>
                <w:rFonts w:ascii="Arial" w:cs="Arial" w:eastAsia="Arial" w:hAnsi="Arial"/>
                <w:sz w:val="18"/>
                <w:szCs w:val="18"/>
                <w:color w:val="auto"/>
              </w:rPr>
              <w:t>(1) Includes stock-based compensation expense as follows:</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1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20" w:type="dxa"/>
            <w:vAlign w:val="bottom"/>
            <w:vMerge w:val="restart"/>
          </w:tcPr>
          <w:p>
            <w:pPr>
              <w:spacing w:after="0"/>
              <w:rPr>
                <w:sz w:val="19"/>
                <w:szCs w:val="19"/>
                <w:color w:val="auto"/>
              </w:rPr>
            </w:pPr>
          </w:p>
        </w:tc>
        <w:tc>
          <w:tcPr>
            <w:tcW w:w="5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1,164</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2,627</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6,662</w:t>
            </w:r>
          </w:p>
        </w:tc>
        <w:tc>
          <w:tcPr>
            <w:tcW w:w="2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80" w:type="dxa"/>
            <w:vAlign w:val="bottom"/>
            <w:tcBorders>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jc w:val="right"/>
              <w:ind w:right="1270"/>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4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24" w:name="page25"/>
    <w:bookmarkEnd w:id="24"/>
    <w:p>
      <w:pPr>
        <w:jc w:val="center"/>
        <w:ind w:left="5060"/>
        <w:spacing w:after="0"/>
        <w:rPr>
          <w:sz w:val="20"/>
          <w:szCs w:val="20"/>
          <w:color w:val="auto"/>
        </w:rPr>
      </w:pPr>
      <w:r>
        <w:rPr>
          <w:rFonts w:ascii="Arial" w:cs="Arial" w:eastAsia="Arial" w:hAnsi="Arial"/>
          <w:sz w:val="14"/>
          <w:szCs w:val="14"/>
          <w:b w:val="1"/>
          <w:bCs w:val="1"/>
          <w:color w:val="auto"/>
        </w:rPr>
        <w:t>Three Months Ended</w:t>
      </w:r>
    </w:p>
    <w:p>
      <w:pPr>
        <w:spacing w:after="0" w:line="69" w:lineRule="exact"/>
        <w:rPr>
          <w:sz w:val="20"/>
          <w:szCs w:val="20"/>
          <w:color w:val="auto"/>
        </w:rPr>
      </w:pPr>
    </w:p>
    <w:p>
      <w:pPr>
        <w:jc w:val="center"/>
        <w:ind w:left="5060"/>
        <w:spacing w:after="0"/>
        <w:rPr>
          <w:sz w:val="20"/>
          <w:szCs w:val="20"/>
          <w:color w:val="auto"/>
        </w:rPr>
      </w:pPr>
      <w:r>
        <w:rPr>
          <w:rFonts w:ascii="Arial" w:cs="Arial" w:eastAsia="Arial" w:hAnsi="Arial"/>
          <w:sz w:val="14"/>
          <w:szCs w:val="14"/>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6350</wp:posOffset>
            </wp:positionV>
            <wp:extent cx="15608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6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6040" w:type="dxa"/>
            <w:vAlign w:val="bottom"/>
            <w:gridSpan w:val="2"/>
          </w:tcPr>
          <w:p>
            <w:pPr>
              <w:ind w:left="5680"/>
              <w:spacing w:after="0"/>
              <w:rPr>
                <w:sz w:val="20"/>
                <w:szCs w:val="20"/>
                <w:color w:val="auto"/>
              </w:rPr>
            </w:pPr>
            <w:r>
              <w:rPr>
                <w:rFonts w:ascii="Arial" w:cs="Arial" w:eastAsia="Arial" w:hAnsi="Arial"/>
                <w:sz w:val="14"/>
                <w:szCs w:val="14"/>
                <w:b w:val="1"/>
                <w:bCs w:val="1"/>
                <w:color w:val="auto"/>
              </w:rPr>
              <w:t>2019</w:t>
            </w:r>
          </w:p>
        </w:tc>
        <w:tc>
          <w:tcPr>
            <w:tcW w:w="13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23"/>
        </w:trPr>
        <w:tc>
          <w:tcPr>
            <w:tcW w:w="5300" w:type="dxa"/>
            <w:vAlign w:val="bottom"/>
          </w:tcPr>
          <w:p>
            <w:pPr>
              <w:spacing w:after="0"/>
              <w:rPr>
                <w:sz w:val="19"/>
                <w:szCs w:val="19"/>
                <w:color w:val="auto"/>
              </w:rPr>
            </w:pPr>
          </w:p>
        </w:tc>
        <w:tc>
          <w:tcPr>
            <w:tcW w:w="212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(as a percentage of revenue)</w:t>
            </w:r>
          </w:p>
        </w:tc>
        <w:tc>
          <w:tcPr>
            <w:tcW w:w="3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6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9"/>
              </w:rPr>
              <w:t>100%</w:t>
            </w:r>
          </w:p>
        </w:tc>
        <w:tc>
          <w:tcPr>
            <w:tcW w:w="7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100%</w:t>
            </w: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74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20" w:type="dxa"/>
            <w:vAlign w:val="bottom"/>
            <w:tcBorders>
              <w:top w:val="single" w:sz="8" w:color="CFF0FC"/>
            </w:tcBorders>
            <w:shd w:val="clear" w:color="auto" w:fill="CFF0FC"/>
          </w:tcPr>
          <w:p>
            <w:pPr>
              <w:spacing w:after="0"/>
              <w:rPr>
                <w:sz w:val="19"/>
                <w:szCs w:val="19"/>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60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r>
      <w:tr>
        <w:trPr>
          <w:trHeight w:val="230"/>
        </w:trPr>
        <w:tc>
          <w:tcPr>
            <w:tcW w:w="6040" w:type="dxa"/>
            <w:vAlign w:val="bottom"/>
            <w:gridSpan w:val="2"/>
          </w:tcPr>
          <w:p>
            <w:pPr>
              <w:ind w:left="24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r>
      <w:tr>
        <w:trPr>
          <w:trHeight w:val="230"/>
        </w:trPr>
        <w:tc>
          <w:tcPr>
            <w:tcW w:w="60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r>
      <w:tr>
        <w:trPr>
          <w:trHeight w:val="223"/>
        </w:trPr>
        <w:tc>
          <w:tcPr>
            <w:tcW w:w="53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7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30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20" w:type="dxa"/>
            <w:vAlign w:val="bottom"/>
            <w:tcBorders>
              <w:bottom w:val="single" w:sz="8" w:color="CFF0FC"/>
            </w:tcBorders>
          </w:tcPr>
          <w:p>
            <w:pPr>
              <w:spacing w:after="0"/>
              <w:rPr>
                <w:sz w:val="19"/>
                <w:szCs w:val="19"/>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Interest income, net</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74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Net income (loss) before provision for income taxes</w:t>
            </w: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74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FF0FC"/>
          </w:tcPr>
          <w:p>
            <w:pPr>
              <w:spacing w:after="0"/>
              <w:rPr>
                <w:sz w:val="19"/>
                <w:szCs w:val="19"/>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Net income (loss)</w:t>
            </w:r>
          </w:p>
        </w:tc>
        <w:tc>
          <w:tcPr>
            <w:tcW w:w="7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0"/>
        </w:trPr>
        <w:tc>
          <w:tcPr>
            <w:tcW w:w="5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April 30, 2019 and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center"/>
              <w:ind w:left="544"/>
              <w:spacing w:after="0"/>
              <w:rPr>
                <w:sz w:val="20"/>
                <w:szCs w:val="20"/>
                <w:color w:val="auto"/>
              </w:rPr>
            </w:pPr>
            <w:r>
              <w:rPr>
                <w:rFonts w:ascii="Arial" w:cs="Arial" w:eastAsia="Arial" w:hAnsi="Arial"/>
                <w:sz w:val="14"/>
                <w:szCs w:val="14"/>
                <w:b w:val="1"/>
                <w:bCs w:val="1"/>
                <w:color w:val="auto"/>
                <w:w w:val="96"/>
              </w:rPr>
              <w:t>Three Months Ended April 30,</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424"/>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9"/>
                <w:szCs w:val="19"/>
                <w:color w:val="auto"/>
              </w:rPr>
            </w:pPr>
          </w:p>
        </w:tc>
        <w:tc>
          <w:tcPr>
            <w:tcW w:w="740" w:type="dxa"/>
            <w:vAlign w:val="bottom"/>
          </w:tcPr>
          <w:p>
            <w:pPr>
              <w:jc w:val="right"/>
              <w:ind w:right="339"/>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 Change</w:t>
            </w:r>
          </w:p>
        </w:tc>
      </w:tr>
      <w:tr>
        <w:trPr>
          <w:trHeight w:val="223"/>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121,988</w:t>
            </w:r>
          </w:p>
        </w:tc>
        <w:tc>
          <w:tcPr>
            <w:tcW w:w="4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60,070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103%</w:t>
            </w:r>
          </w:p>
        </w:tc>
      </w:tr>
    </w:tbl>
    <w:p>
      <w:pPr>
        <w:spacing w:after="0" w:line="229"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231F20"/>
        </w:rPr>
        <w:t xml:space="preserve">Revenue for the three months ended April 30, 2019 increased by </w:t>
      </w:r>
      <w:r>
        <w:rPr>
          <w:rFonts w:ascii="Arial" w:cs="Arial" w:eastAsia="Arial" w:hAnsi="Arial"/>
          <w:sz w:val="18"/>
          <w:szCs w:val="18"/>
          <w:color w:val="000000"/>
        </w:rPr>
        <w:t>$61.9</w:t>
      </w:r>
      <w:r>
        <w:rPr>
          <w:rFonts w:ascii="Arial" w:cs="Arial" w:eastAsia="Arial" w:hAnsi="Arial"/>
          <w:sz w:val="18"/>
          <w:szCs w:val="18"/>
          <w:color w:val="231F20"/>
        </w:rPr>
        <w:t xml:space="preserve"> million, or 103</w:t>
      </w:r>
      <w:r>
        <w:rPr>
          <w:rFonts w:ascii="Arial" w:cs="Arial" w:eastAsia="Arial" w:hAnsi="Arial"/>
          <w:sz w:val="18"/>
          <w:szCs w:val="18"/>
          <w:color w:val="000000"/>
        </w:rPr>
        <w:t>%</w:t>
      </w:r>
      <w:r>
        <w:rPr>
          <w:rFonts w:ascii="Arial" w:cs="Arial" w:eastAsia="Arial" w:hAnsi="Arial"/>
          <w:sz w:val="18"/>
          <w:szCs w:val="18"/>
          <w:color w:val="231F20"/>
        </w:rPr>
        <w:t xml:space="preserve">, compared to the three months ended April 30, 2018. </w:t>
      </w:r>
      <w:r>
        <w:rPr>
          <w:rFonts w:ascii="Arial" w:cs="Arial" w:eastAsia="Arial" w:hAnsi="Arial"/>
          <w:sz w:val="18"/>
          <w:szCs w:val="18"/>
          <w:color w:val="000000"/>
        </w:rPr>
        <w:t>The</w:t>
      </w:r>
      <w:r>
        <w:rPr>
          <w:rFonts w:ascii="Arial" w:cs="Arial" w:eastAsia="Arial" w:hAnsi="Arial"/>
          <w:sz w:val="18"/>
          <w:szCs w:val="18"/>
          <w:color w:val="231F20"/>
        </w:rPr>
        <w:t xml:space="preserve"> </w:t>
      </w:r>
      <w:r>
        <w:rPr>
          <w:rFonts w:ascii="Arial" w:cs="Arial" w:eastAsia="Arial" w:hAnsi="Arial"/>
          <w:sz w:val="18"/>
          <w:szCs w:val="18"/>
          <w:color w:val="000000"/>
        </w:rPr>
        <w:t>increase was primarily due to subscription services provided to new customers, which accounted for approximately 64% of the increase, and to subscription services provided to existing customers, which accounted for approximately 36% of the increase.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w w:val="97"/>
              </w:rPr>
              <w:t>Three Months Ended April 30,</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9"/>
                <w:szCs w:val="19"/>
                <w:color w:val="auto"/>
              </w:rPr>
            </w:pPr>
          </w:p>
        </w:tc>
        <w:tc>
          <w:tcPr>
            <w:tcW w:w="7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Change</w:t>
            </w:r>
          </w:p>
        </w:tc>
      </w:tr>
      <w:tr>
        <w:trPr>
          <w:trHeight w:val="223"/>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24,104</w:t>
            </w:r>
          </w:p>
        </w:tc>
        <w:tc>
          <w:tcPr>
            <w:tcW w:w="4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w:t>
            </w:r>
          </w:p>
        </w:tc>
      </w:tr>
      <w:tr>
        <w:trPr>
          <w:trHeight w:val="230"/>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Gross profit</w:t>
            </w: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159"/>
              <w:spacing w:after="0"/>
              <w:rPr>
                <w:sz w:val="20"/>
                <w:szCs w:val="20"/>
                <w:color w:val="auto"/>
              </w:rPr>
            </w:pPr>
            <w:r>
              <w:rPr>
                <w:rFonts w:ascii="Arial" w:cs="Arial" w:eastAsia="Arial" w:hAnsi="Arial"/>
                <w:sz w:val="18"/>
                <w:szCs w:val="18"/>
                <w:color w:val="auto"/>
              </w:rPr>
              <w:t>97,884</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48,410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r>
      <w:tr>
        <w:trPr>
          <w:trHeight w:val="230"/>
        </w:trPr>
        <w:tc>
          <w:tcPr>
            <w:tcW w:w="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2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4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231F20"/>
        </w:rPr>
        <w:t xml:space="preserve">Cost of revenue for the three months ended April 30, 2019 increased by </w:t>
      </w:r>
      <w:r>
        <w:rPr>
          <w:rFonts w:ascii="Arial" w:cs="Arial" w:eastAsia="Arial" w:hAnsi="Arial"/>
          <w:sz w:val="18"/>
          <w:szCs w:val="18"/>
          <w:color w:val="000000"/>
        </w:rPr>
        <w:t>$12.4</w:t>
      </w:r>
      <w:r>
        <w:rPr>
          <w:rFonts w:ascii="Arial" w:cs="Arial" w:eastAsia="Arial" w:hAnsi="Arial"/>
          <w:sz w:val="18"/>
          <w:szCs w:val="18"/>
          <w:color w:val="231F20"/>
        </w:rPr>
        <w:t xml:space="preserve"> million, or 107</w:t>
      </w:r>
      <w:r>
        <w:rPr>
          <w:rFonts w:ascii="Arial" w:cs="Arial" w:eastAsia="Arial" w:hAnsi="Arial"/>
          <w:sz w:val="18"/>
          <w:szCs w:val="18"/>
          <w:color w:val="000000"/>
        </w:rPr>
        <w:t>%</w:t>
      </w:r>
      <w:r>
        <w:rPr>
          <w:rFonts w:ascii="Arial" w:cs="Arial" w:eastAsia="Arial" w:hAnsi="Arial"/>
          <w:sz w:val="18"/>
          <w:szCs w:val="18"/>
          <w:color w:val="231F20"/>
        </w:rPr>
        <w:t xml:space="preserve">, compared to the three months ended April 30, 2018. The increase in cost of revenue was primarily due to an increase of </w:t>
      </w:r>
      <w:r>
        <w:rPr>
          <w:rFonts w:ascii="Arial" w:cs="Arial" w:eastAsia="Arial" w:hAnsi="Arial"/>
          <w:sz w:val="18"/>
          <w:szCs w:val="18"/>
          <w:color w:val="000000"/>
        </w:rPr>
        <w:t>$8.1</w:t>
      </w:r>
      <w:r>
        <w:rPr>
          <w:rFonts w:ascii="Arial" w:cs="Arial" w:eastAsia="Arial" w:hAnsi="Arial"/>
          <w:sz w:val="18"/>
          <w:szCs w:val="18"/>
          <w:color w:val="231F20"/>
        </w:rPr>
        <w:t xml:space="preserve"> million in costs related to our co-located data centers, third-party cloud hosting, and integrated third-party PSTN services to support the increase in customers and expanded use of our video-first communications platform by existing customers, an increase of </w:t>
      </w:r>
      <w:r>
        <w:rPr>
          <w:rFonts w:ascii="Arial" w:cs="Arial" w:eastAsia="Arial" w:hAnsi="Arial"/>
          <w:sz w:val="18"/>
          <w:szCs w:val="18"/>
          <w:color w:val="000000"/>
        </w:rPr>
        <w:t>$2.4</w:t>
      </w:r>
      <w:r>
        <w:rPr>
          <w:rFonts w:ascii="Arial" w:cs="Arial" w:eastAsia="Arial" w:hAnsi="Arial"/>
          <w:sz w:val="18"/>
          <w:szCs w:val="18"/>
          <w:color w:val="231F20"/>
        </w:rPr>
        <w:t xml:space="preserve"> million in personnel-related expenses mainly driven by increased headcount, and an increase in allocated overhead of $1.2 million.</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657"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center"/>
              <w:ind w:left="544"/>
              <w:spacing w:after="0"/>
              <w:rPr>
                <w:sz w:val="20"/>
                <w:szCs w:val="20"/>
                <w:color w:val="auto"/>
              </w:rPr>
            </w:pPr>
            <w:r>
              <w:rPr>
                <w:rFonts w:ascii="Arial" w:cs="Arial" w:eastAsia="Arial" w:hAnsi="Arial"/>
                <w:sz w:val="14"/>
                <w:szCs w:val="14"/>
                <w:b w:val="1"/>
                <w:bCs w:val="1"/>
                <w:color w:val="auto"/>
                <w:w w:val="96"/>
              </w:rPr>
              <w:t>Three Months Ended April 30,</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424"/>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8"/>
                <w:szCs w:val="18"/>
                <w:color w:val="auto"/>
              </w:rPr>
            </w:pPr>
          </w:p>
        </w:tc>
        <w:tc>
          <w:tcPr>
            <w:tcW w:w="740" w:type="dxa"/>
            <w:vAlign w:val="bottom"/>
          </w:tcPr>
          <w:p>
            <w:pPr>
              <w:jc w:val="right"/>
              <w:ind w:right="339"/>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 Change</w:t>
            </w:r>
          </w:p>
        </w:tc>
      </w:tr>
      <w:tr>
        <w:trPr>
          <w:trHeight w:val="210"/>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13,783</w:t>
            </w:r>
          </w:p>
        </w:tc>
        <w:tc>
          <w:tcPr>
            <w:tcW w:w="4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w:t>
            </w:r>
          </w:p>
        </w:tc>
      </w:tr>
    </w:tbl>
    <w:p>
      <w:pPr>
        <w:spacing w:after="0" w:line="242"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231F20"/>
        </w:rPr>
        <w:t xml:space="preserve">Research and development expense for the three months ended April 30, 2019 increased by </w:t>
      </w:r>
      <w:r>
        <w:rPr>
          <w:rFonts w:ascii="Arial" w:cs="Arial" w:eastAsia="Arial" w:hAnsi="Arial"/>
          <w:sz w:val="18"/>
          <w:szCs w:val="18"/>
          <w:color w:val="000000"/>
        </w:rPr>
        <w:t>$7.5</w:t>
      </w:r>
      <w:r>
        <w:rPr>
          <w:rFonts w:ascii="Arial" w:cs="Arial" w:eastAsia="Arial" w:hAnsi="Arial"/>
          <w:sz w:val="18"/>
          <w:szCs w:val="18"/>
          <w:color w:val="231F20"/>
        </w:rPr>
        <w:t xml:space="preserve"> million, or 120</w:t>
      </w:r>
      <w:r>
        <w:rPr>
          <w:rFonts w:ascii="Arial" w:cs="Arial" w:eastAsia="Arial" w:hAnsi="Arial"/>
          <w:sz w:val="18"/>
          <w:szCs w:val="18"/>
          <w:color w:val="000000"/>
        </w:rPr>
        <w:t>%</w:t>
      </w:r>
      <w:r>
        <w:rPr>
          <w:rFonts w:ascii="Arial" w:cs="Arial" w:eastAsia="Arial" w:hAnsi="Arial"/>
          <w:sz w:val="18"/>
          <w:szCs w:val="18"/>
          <w:color w:val="231F20"/>
        </w:rPr>
        <w:t xml:space="preserve">, compared to the three months ended April 30, 2018, as we continued to add new features and functionalities to our video-first communications platform. </w:t>
      </w:r>
      <w:r>
        <w:rPr>
          <w:rFonts w:ascii="Arial" w:cs="Arial" w:eastAsia="Arial" w:hAnsi="Arial"/>
          <w:sz w:val="18"/>
          <w:szCs w:val="18"/>
          <w:color w:val="000000"/>
        </w:rPr>
        <w:t>The increase was primarily due to</w:t>
      </w:r>
      <w:r>
        <w:rPr>
          <w:rFonts w:ascii="Arial" w:cs="Arial" w:eastAsia="Arial" w:hAnsi="Arial"/>
          <w:sz w:val="18"/>
          <w:szCs w:val="18"/>
          <w:color w:val="231F20"/>
        </w:rPr>
        <w:t xml:space="preserve"> </w:t>
      </w:r>
      <w:r>
        <w:rPr>
          <w:rFonts w:ascii="Arial" w:cs="Arial" w:eastAsia="Arial" w:hAnsi="Arial"/>
          <w:sz w:val="18"/>
          <w:szCs w:val="18"/>
          <w:color w:val="000000"/>
        </w:rPr>
        <w:t>an increase in personnel-related expenses of $6.5 million mainly driven by increased headcount, and includes a $1.0 million increase in stock-based compensation expense.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center"/>
              <w:ind w:left="544"/>
              <w:spacing w:after="0"/>
              <w:rPr>
                <w:sz w:val="20"/>
                <w:szCs w:val="20"/>
                <w:color w:val="auto"/>
              </w:rPr>
            </w:pPr>
            <w:r>
              <w:rPr>
                <w:rFonts w:ascii="Arial" w:cs="Arial" w:eastAsia="Arial" w:hAnsi="Arial"/>
                <w:sz w:val="14"/>
                <w:szCs w:val="14"/>
                <w:b w:val="1"/>
                <w:bCs w:val="1"/>
                <w:color w:val="auto"/>
                <w:w w:val="96"/>
              </w:rPr>
              <w:t>Three Months Ended April 30,</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24"/>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64,041</w:t>
            </w:r>
          </w:p>
        </w:tc>
        <w:tc>
          <w:tcPr>
            <w:tcW w:w="4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36,261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w:t>
            </w:r>
          </w:p>
        </w:tc>
      </w:tr>
    </w:tbl>
    <w:p>
      <w:pPr>
        <w:spacing w:after="0" w:line="22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231F20"/>
        </w:rPr>
        <w:t xml:space="preserve">Sales and marketing expense for the three months ended April 30, 2019 increased by </w:t>
      </w:r>
      <w:r>
        <w:rPr>
          <w:rFonts w:ascii="Arial" w:cs="Arial" w:eastAsia="Arial" w:hAnsi="Arial"/>
          <w:sz w:val="18"/>
          <w:szCs w:val="18"/>
          <w:color w:val="000000"/>
        </w:rPr>
        <w:t>$27.8</w:t>
      </w:r>
      <w:r>
        <w:rPr>
          <w:rFonts w:ascii="Arial" w:cs="Arial" w:eastAsia="Arial" w:hAnsi="Arial"/>
          <w:sz w:val="18"/>
          <w:szCs w:val="18"/>
          <w:color w:val="231F20"/>
        </w:rPr>
        <w:t xml:space="preserve"> million, or 77%, compared to the three months ended April 30, 2018. The increase in sales and marketing expense was primarily due to an increase in personnel-related expenses of </w:t>
      </w:r>
      <w:r>
        <w:rPr>
          <w:rFonts w:ascii="Arial" w:cs="Arial" w:eastAsia="Arial" w:hAnsi="Arial"/>
          <w:sz w:val="18"/>
          <w:szCs w:val="18"/>
          <w:color w:val="000000"/>
        </w:rPr>
        <w:t>$15.1</w:t>
      </w:r>
      <w:r>
        <w:rPr>
          <w:rFonts w:ascii="Arial" w:cs="Arial" w:eastAsia="Arial" w:hAnsi="Arial"/>
          <w:sz w:val="18"/>
          <w:szCs w:val="18"/>
          <w:color w:val="231F20"/>
        </w:rPr>
        <w:t xml:space="preserve"> million mainly driven by increased headcount to support the growth in our sales force, and includes a $3.5 million increase in sales commissions driven by our increase in revenue </w:t>
      </w:r>
      <w:r>
        <w:rPr>
          <w:rFonts w:ascii="Arial" w:cs="Arial" w:eastAsia="Arial" w:hAnsi="Arial"/>
          <w:sz w:val="18"/>
          <w:szCs w:val="18"/>
          <w:color w:val="000000"/>
        </w:rPr>
        <w:t>and</w:t>
      </w:r>
      <w:r>
        <w:rPr>
          <w:rFonts w:ascii="Arial" w:cs="Arial" w:eastAsia="Arial" w:hAnsi="Arial"/>
          <w:sz w:val="18"/>
          <w:szCs w:val="18"/>
          <w:color w:val="231F20"/>
        </w:rPr>
        <w:t xml:space="preserve"> </w:t>
      </w:r>
      <w:r>
        <w:rPr>
          <w:rFonts w:ascii="Arial" w:cs="Arial" w:eastAsia="Arial" w:hAnsi="Arial"/>
          <w:sz w:val="18"/>
          <w:szCs w:val="18"/>
          <w:color w:val="000000"/>
        </w:rPr>
        <w:t xml:space="preserve">a $2.2 million increase in stock-based compensation expense. The remaining increase was primarily due to </w:t>
      </w:r>
      <w:r>
        <w:rPr>
          <w:rFonts w:ascii="Arial" w:cs="Arial" w:eastAsia="Arial" w:hAnsi="Arial"/>
          <w:sz w:val="18"/>
          <w:szCs w:val="18"/>
          <w:color w:val="231F20"/>
        </w:rPr>
        <w:t>an increase in marketing and sales event-related</w:t>
      </w:r>
      <w:r>
        <w:rPr>
          <w:rFonts w:ascii="Arial" w:cs="Arial" w:eastAsia="Arial" w:hAnsi="Arial"/>
          <w:sz w:val="18"/>
          <w:szCs w:val="18"/>
          <w:color w:val="000000"/>
        </w:rPr>
        <w:t xml:space="preserve"> </w:t>
      </w:r>
      <w:r>
        <w:rPr>
          <w:rFonts w:ascii="Arial" w:cs="Arial" w:eastAsia="Arial" w:hAnsi="Arial"/>
          <w:sz w:val="18"/>
          <w:szCs w:val="18"/>
          <w:color w:val="231F20"/>
        </w:rPr>
        <w:t xml:space="preserve">costs of </w:t>
      </w:r>
      <w:r>
        <w:rPr>
          <w:rFonts w:ascii="Arial" w:cs="Arial" w:eastAsia="Arial" w:hAnsi="Arial"/>
          <w:sz w:val="18"/>
          <w:szCs w:val="18"/>
          <w:color w:val="000000"/>
        </w:rPr>
        <w:t>$7.7</w:t>
      </w:r>
      <w:r>
        <w:rPr>
          <w:rFonts w:ascii="Arial" w:cs="Arial" w:eastAsia="Arial" w:hAnsi="Arial"/>
          <w:sz w:val="18"/>
          <w:szCs w:val="18"/>
          <w:color w:val="231F20"/>
        </w:rPr>
        <w:t xml:space="preserve"> million as a result of increased costs related to digital, awareness, and tradeshow programs, and an increase in allocated overhead of </w:t>
      </w:r>
      <w:r>
        <w:rPr>
          <w:rFonts w:ascii="Arial" w:cs="Arial" w:eastAsia="Arial" w:hAnsi="Arial"/>
          <w:sz w:val="18"/>
          <w:szCs w:val="18"/>
          <w:color w:val="000000"/>
        </w:rPr>
        <w:t>$4.2</w:t>
      </w:r>
      <w:r>
        <w:rPr>
          <w:rFonts w:ascii="Arial" w:cs="Arial" w:eastAsia="Arial" w:hAnsi="Arial"/>
          <w:sz w:val="18"/>
          <w:szCs w:val="18"/>
          <w:color w:val="231F20"/>
        </w:rPr>
        <w:t xml:space="preserve"> million.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center"/>
              <w:ind w:left="544"/>
              <w:spacing w:after="0"/>
              <w:rPr>
                <w:sz w:val="20"/>
                <w:szCs w:val="20"/>
                <w:color w:val="auto"/>
              </w:rPr>
            </w:pPr>
            <w:r>
              <w:rPr>
                <w:rFonts w:ascii="Arial" w:cs="Arial" w:eastAsia="Arial" w:hAnsi="Arial"/>
                <w:sz w:val="14"/>
                <w:szCs w:val="14"/>
                <w:b w:val="1"/>
                <w:bCs w:val="1"/>
                <w:color w:val="auto"/>
                <w:w w:val="96"/>
              </w:rPr>
              <w:t>Three Months Ended April 30,</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24"/>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18,503</w:t>
            </w:r>
          </w:p>
        </w:tc>
        <w:tc>
          <w:tcPr>
            <w:tcW w:w="4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144%</w:t>
            </w:r>
          </w:p>
        </w:tc>
      </w:tr>
    </w:tbl>
    <w:p>
      <w:pPr>
        <w:spacing w:after="0" w:line="242"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231F20"/>
        </w:rPr>
        <w:t xml:space="preserve">General and administrative expense for the three months ended April 30, 2019 increased by </w:t>
      </w:r>
      <w:r>
        <w:rPr>
          <w:rFonts w:ascii="Arial" w:cs="Arial" w:eastAsia="Arial" w:hAnsi="Arial"/>
          <w:sz w:val="18"/>
          <w:szCs w:val="18"/>
          <w:color w:val="000000"/>
        </w:rPr>
        <w:t>$10.9</w:t>
      </w:r>
      <w:r>
        <w:rPr>
          <w:rFonts w:ascii="Arial" w:cs="Arial" w:eastAsia="Arial" w:hAnsi="Arial"/>
          <w:sz w:val="18"/>
          <w:szCs w:val="18"/>
          <w:color w:val="231F20"/>
        </w:rPr>
        <w:t xml:space="preserve"> million, or 144%, compared to the three months ended April 30, 2018. The increase in general and administrative expense was primarily </w:t>
      </w:r>
      <w:r>
        <w:rPr>
          <w:rFonts w:ascii="Arial" w:cs="Arial" w:eastAsia="Arial" w:hAnsi="Arial"/>
          <w:sz w:val="18"/>
          <w:szCs w:val="18"/>
          <w:color w:val="000000"/>
        </w:rPr>
        <w:t>due to an increase in personnel-related expenses of $4.9 million</w:t>
      </w:r>
      <w:r>
        <w:rPr>
          <w:rFonts w:ascii="Arial" w:cs="Arial" w:eastAsia="Arial" w:hAnsi="Arial"/>
          <w:sz w:val="18"/>
          <w:szCs w:val="18"/>
          <w:color w:val="231F20"/>
        </w:rPr>
        <w:t xml:space="preserve"> </w:t>
      </w:r>
      <w:r>
        <w:rPr>
          <w:rFonts w:ascii="Arial" w:cs="Arial" w:eastAsia="Arial" w:hAnsi="Arial"/>
          <w:sz w:val="18"/>
          <w:szCs w:val="18"/>
          <w:color w:val="000000"/>
        </w:rPr>
        <w:t xml:space="preserve">mainly driven by increased headcount, and includes a $1.8 million increase in stock-based compensation expense. </w:t>
      </w:r>
      <w:r>
        <w:rPr>
          <w:rFonts w:ascii="Arial" w:cs="Arial" w:eastAsia="Arial" w:hAnsi="Arial"/>
          <w:sz w:val="18"/>
          <w:szCs w:val="18"/>
          <w:color w:val="231F20"/>
        </w:rPr>
        <w:t>The remaining increase was primarily due</w:t>
      </w:r>
      <w:r>
        <w:rPr>
          <w:rFonts w:ascii="Arial" w:cs="Arial" w:eastAsia="Arial" w:hAnsi="Arial"/>
          <w:sz w:val="18"/>
          <w:szCs w:val="18"/>
          <w:color w:val="000000"/>
        </w:rPr>
        <w:t xml:space="preserve"> </w:t>
      </w:r>
      <w:r>
        <w:rPr>
          <w:rFonts w:ascii="Arial" w:cs="Arial" w:eastAsia="Arial" w:hAnsi="Arial"/>
          <w:sz w:val="18"/>
          <w:szCs w:val="18"/>
          <w:color w:val="231F20"/>
        </w:rPr>
        <w:t xml:space="preserve">to increased expenses of </w:t>
      </w:r>
      <w:r>
        <w:rPr>
          <w:rFonts w:ascii="Arial" w:cs="Arial" w:eastAsia="Arial" w:hAnsi="Arial"/>
          <w:sz w:val="18"/>
          <w:szCs w:val="18"/>
          <w:color w:val="000000"/>
        </w:rPr>
        <w:t>$2.7</w:t>
      </w:r>
      <w:r>
        <w:rPr>
          <w:rFonts w:ascii="Arial" w:cs="Arial" w:eastAsia="Arial" w:hAnsi="Arial"/>
          <w:sz w:val="18"/>
          <w:szCs w:val="18"/>
          <w:color w:val="231F20"/>
        </w:rPr>
        <w:t xml:space="preserve"> million related to a contingent liability for sales and other indirect taxes, </w:t>
      </w:r>
      <w:r>
        <w:rPr>
          <w:rFonts w:ascii="Arial" w:cs="Arial" w:eastAsia="Arial" w:hAnsi="Arial"/>
          <w:sz w:val="18"/>
          <w:szCs w:val="18"/>
          <w:color w:val="000000"/>
        </w:rPr>
        <w:t>and an increase of $2.1</w:t>
      </w:r>
      <w:r>
        <w:rPr>
          <w:rFonts w:ascii="Arial" w:cs="Arial" w:eastAsia="Arial" w:hAnsi="Arial"/>
          <w:sz w:val="18"/>
          <w:szCs w:val="18"/>
          <w:color w:val="231F20"/>
        </w:rPr>
        <w:t xml:space="preserve"> million </w:t>
      </w:r>
      <w:r>
        <w:rPr>
          <w:rFonts w:ascii="Arial" w:cs="Arial" w:eastAsia="Arial" w:hAnsi="Arial"/>
          <w:sz w:val="18"/>
          <w:szCs w:val="18"/>
          <w:color w:val="000000"/>
        </w:rPr>
        <w:t>in</w:t>
      </w:r>
      <w:r>
        <w:rPr>
          <w:rFonts w:ascii="Arial" w:cs="Arial" w:eastAsia="Arial" w:hAnsi="Arial"/>
          <w:sz w:val="18"/>
          <w:szCs w:val="18"/>
          <w:color w:val="231F20"/>
        </w:rPr>
        <w:t xml:space="preserve"> external accounting and consulting </w:t>
      </w:r>
      <w:r>
        <w:rPr>
          <w:rFonts w:ascii="Arial" w:cs="Arial" w:eastAsia="Arial" w:hAnsi="Arial"/>
          <w:sz w:val="18"/>
          <w:szCs w:val="18"/>
          <w:color w:val="000000"/>
        </w:rPr>
        <w:t>services</w:t>
      </w:r>
      <w:r>
        <w:rPr>
          <w:rFonts w:ascii="Arial" w:cs="Arial" w:eastAsia="Arial" w:hAnsi="Arial"/>
          <w:sz w:val="18"/>
          <w:szCs w:val="18"/>
          <w:color w:val="231F20"/>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center"/>
              <w:ind w:left="62"/>
              <w:spacing w:after="0"/>
              <w:rPr>
                <w:sz w:val="20"/>
                <w:szCs w:val="20"/>
                <w:color w:val="auto"/>
              </w:rPr>
            </w:pPr>
            <w:r>
              <w:rPr>
                <w:rFonts w:ascii="Arial" w:cs="Arial" w:eastAsia="Arial" w:hAnsi="Arial"/>
                <w:sz w:val="14"/>
                <w:szCs w:val="14"/>
                <w:b w:val="1"/>
                <w:bCs w:val="1"/>
                <w:color w:val="auto"/>
                <w:w w:val="96"/>
              </w:rPr>
              <w:t>Three Months Ended April 30,</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268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658</w:t>
            </w:r>
          </w:p>
        </w:tc>
        <w:tc>
          <w:tcPr>
            <w:tcW w:w="4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w:t>
            </w:r>
          </w:p>
        </w:tc>
      </w:tr>
    </w:tbl>
    <w:p>
      <w:pPr>
        <w:spacing w:after="0" w:line="242"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231F20"/>
        </w:rPr>
        <w:t xml:space="preserve">Interest income, net for the three months ended April 30, 2019 increased by </w:t>
      </w:r>
      <w:r>
        <w:rPr>
          <w:rFonts w:ascii="Arial" w:cs="Arial" w:eastAsia="Arial" w:hAnsi="Arial"/>
          <w:sz w:val="18"/>
          <w:szCs w:val="18"/>
          <w:color w:val="000000"/>
        </w:rPr>
        <w:t>$0.2</w:t>
      </w:r>
      <w:r>
        <w:rPr>
          <w:rFonts w:ascii="Arial" w:cs="Arial" w:eastAsia="Arial" w:hAnsi="Arial"/>
          <w:sz w:val="18"/>
          <w:szCs w:val="18"/>
          <w:color w:val="231F20"/>
        </w:rPr>
        <w:t xml:space="preserve"> million, or 51%, compared to the three months ended April 30, 2018. The increase was primarily attributable to an increase in interest income earned from our investments in marketable securities of $0.5 million, </w:t>
      </w:r>
      <w:r>
        <w:rPr>
          <w:rFonts w:ascii="Arial" w:cs="Arial" w:eastAsia="Arial" w:hAnsi="Arial"/>
          <w:sz w:val="18"/>
          <w:szCs w:val="18"/>
          <w:color w:val="000000"/>
        </w:rPr>
        <w:t>partially offset</w:t>
      </w:r>
      <w:r>
        <w:rPr>
          <w:rFonts w:ascii="Arial" w:cs="Arial" w:eastAsia="Arial" w:hAnsi="Arial"/>
          <w:sz w:val="18"/>
          <w:szCs w:val="18"/>
          <w:color w:val="231F20"/>
        </w:rPr>
        <w:t xml:space="preserve"> </w:t>
      </w:r>
      <w:r>
        <w:rPr>
          <w:rFonts w:ascii="Arial" w:cs="Arial" w:eastAsia="Arial" w:hAnsi="Arial"/>
          <w:sz w:val="18"/>
          <w:szCs w:val="18"/>
          <w:color w:val="000000"/>
        </w:rPr>
        <w:t>by an increase in interest expenses on convertible promissory notes of $0.2 million, and the recognition of the unamortized debt discount of the convertible promissory notes of $0.1 million</w:t>
      </w:r>
      <w:r>
        <w:rPr>
          <w:rFonts w:ascii="Arial" w:cs="Arial" w:eastAsia="Arial" w:hAnsi="Arial"/>
          <w:sz w:val="18"/>
          <w:szCs w:val="18"/>
          <w:color w:val="231F20"/>
        </w:rPr>
        <w: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w w:val="95"/>
              </w:rPr>
              <w:t>Three Months Ended April 30,</w:t>
            </w:r>
          </w:p>
        </w:tc>
        <w:tc>
          <w:tcPr>
            <w:tcW w:w="920" w:type="dxa"/>
            <w:vAlign w:val="bottom"/>
            <w:tcBorders>
              <w:bottom w:val="single" w:sz="8" w:color="auto"/>
            </w:tcBorders>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79"/>
              <w:spacing w:after="0" w:line="155" w:lineRule="exact"/>
              <w:rPr>
                <w:sz w:val="20"/>
                <w:szCs w:val="20"/>
                <w:color w:val="auto"/>
              </w:rPr>
            </w:pPr>
            <w:r>
              <w:rPr>
                <w:rFonts w:ascii="Arial" w:cs="Arial" w:eastAsia="Arial" w:hAnsi="Arial"/>
                <w:sz w:val="14"/>
                <w:szCs w:val="14"/>
                <w:b w:val="1"/>
                <w:bCs w:val="1"/>
                <w:color w:val="auto"/>
                <w:w w:val="97"/>
              </w:rPr>
              <w:t>% Change</w:t>
            </w:r>
          </w:p>
        </w:tc>
      </w:tr>
      <w:tr>
        <w:trPr>
          <w:trHeight w:val="156"/>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74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315</w:t>
            </w:r>
          </w:p>
        </w:tc>
        <w:tc>
          <w:tcPr>
            <w:tcW w:w="4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center"/>
              <w:ind w:right="199"/>
              <w:spacing w:after="0"/>
              <w:rPr>
                <w:sz w:val="20"/>
                <w:szCs w:val="20"/>
                <w:color w:val="auto"/>
              </w:rPr>
            </w:pPr>
            <w:r>
              <w:rPr>
                <w:rFonts w:ascii="Arial" w:cs="Arial" w:eastAsia="Arial" w:hAnsi="Arial"/>
                <w:sz w:val="18"/>
                <w:szCs w:val="18"/>
                <w:color w:val="auto"/>
                <w:w w:val="99"/>
              </w:rPr>
              <w:t>NM</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25" w:lineRule="exact"/>
        <w:rPr>
          <w:sz w:val="20"/>
          <w:szCs w:val="20"/>
          <w:color w:val="auto"/>
        </w:rPr>
      </w:pPr>
    </w:p>
    <w:p>
      <w:pPr>
        <w:ind w:right="280" w:firstLine="518"/>
        <w:spacing w:after="0" w:line="342" w:lineRule="auto"/>
        <w:rPr>
          <w:sz w:val="20"/>
          <w:szCs w:val="20"/>
          <w:color w:val="auto"/>
        </w:rPr>
      </w:pPr>
      <w:r>
        <w:rPr>
          <w:rFonts w:ascii="Arial" w:cs="Arial" w:eastAsia="Arial" w:hAnsi="Arial"/>
          <w:sz w:val="16"/>
          <w:szCs w:val="16"/>
          <w:color w:val="231F20"/>
        </w:rPr>
        <w:t xml:space="preserve">Other income, net for the three months ended April 30, 2019 increased by </w:t>
      </w:r>
      <w:r>
        <w:rPr>
          <w:rFonts w:ascii="Arial" w:cs="Arial" w:eastAsia="Arial" w:hAnsi="Arial"/>
          <w:sz w:val="16"/>
          <w:szCs w:val="16"/>
          <w:color w:val="000000"/>
        </w:rPr>
        <w:t>$0.3</w:t>
      </w:r>
      <w:r>
        <w:rPr>
          <w:rFonts w:ascii="Arial" w:cs="Arial" w:eastAsia="Arial" w:hAnsi="Arial"/>
          <w:sz w:val="16"/>
          <w:szCs w:val="16"/>
          <w:color w:val="231F20"/>
        </w:rPr>
        <w:t xml:space="preserve"> million, compared to the three months ended April 30, 2018. The increase was primarily due to </w:t>
      </w:r>
      <w:r>
        <w:rPr>
          <w:rFonts w:ascii="Arial" w:cs="Arial" w:eastAsia="Arial" w:hAnsi="Arial"/>
          <w:sz w:val="16"/>
          <w:szCs w:val="16"/>
          <w:color w:val="000000"/>
        </w:rPr>
        <w:t>the extinguishment of derivative liabilities from the convertible promissory notes in connection with the IPO of $0.2 million.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center"/>
              <w:ind w:left="62"/>
              <w:spacing w:after="0"/>
              <w:rPr>
                <w:sz w:val="20"/>
                <w:szCs w:val="20"/>
                <w:color w:val="auto"/>
              </w:rPr>
            </w:pPr>
            <w:r>
              <w:rPr>
                <w:rFonts w:ascii="Arial" w:cs="Arial" w:eastAsia="Arial" w:hAnsi="Arial"/>
                <w:sz w:val="14"/>
                <w:szCs w:val="14"/>
                <w:b w:val="1"/>
                <w:bCs w:val="1"/>
                <w:color w:val="auto"/>
                <w:w w:val="96"/>
              </w:rPr>
              <w:t>Three Months Ended April 30,</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42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(316)</w:t>
            </w:r>
          </w:p>
        </w:tc>
        <w:tc>
          <w:tcPr>
            <w:tcW w:w="4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226%</w:t>
            </w:r>
          </w:p>
        </w:tc>
      </w:tr>
    </w:tbl>
    <w:p>
      <w:pPr>
        <w:spacing w:after="0" w:line="242"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231F20"/>
        </w:rPr>
        <w:t xml:space="preserve">Provision for income taxes for the three months ended April 30, 2019 increased </w:t>
      </w:r>
      <w:r>
        <w:rPr>
          <w:rFonts w:ascii="Arial" w:cs="Arial" w:eastAsia="Arial" w:hAnsi="Arial"/>
          <w:sz w:val="18"/>
          <w:szCs w:val="18"/>
          <w:color w:val="000000"/>
        </w:rPr>
        <w:t>by $0.2 million, or 226%, compared to the three months ended April</w:t>
      </w:r>
      <w:r>
        <w:rPr>
          <w:rFonts w:ascii="Arial" w:cs="Arial" w:eastAsia="Arial" w:hAnsi="Arial"/>
          <w:sz w:val="18"/>
          <w:szCs w:val="18"/>
          <w:color w:val="231F20"/>
        </w:rPr>
        <w:t xml:space="preserve"> </w:t>
      </w:r>
      <w:r>
        <w:rPr>
          <w:rFonts w:ascii="Arial" w:cs="Arial" w:eastAsia="Arial" w:hAnsi="Arial"/>
          <w:sz w:val="18"/>
          <w:szCs w:val="18"/>
          <w:color w:val="000000"/>
        </w:rPr>
        <w:t xml:space="preserve">30, 2018. The change in provision for income taxes was </w:t>
      </w:r>
      <w:r>
        <w:rPr>
          <w:rFonts w:ascii="Arial" w:cs="Arial" w:eastAsia="Arial" w:hAnsi="Arial"/>
          <w:sz w:val="18"/>
          <w:szCs w:val="18"/>
          <w:color w:val="231F20"/>
        </w:rPr>
        <w:t>primarily due to international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As of April 30, 2019, our principal sources of liquidity were cash, cash equivalents, and marketable securities of $737.2 million, which were held for working capital purposes. Our marketable securities generally consist of high-grade commercial paper, corporate bonds, agency bonds, and U.S. government agency securities.</w:t>
      </w:r>
    </w:p>
    <w:p>
      <w:pPr>
        <w:spacing w:after="0" w:line="181"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We have financed our operations primarily through customer payments and sales of equity securities. In April 2019, we completed our IPO which resulted in aggregate net proceeds of $447.9 million, after underwriting discounts and commissions, and before deducting offering costs of $6.4 million. We also received aggregate proceeds of $100.0 million related to our concurrent private placement, and did not pay any underwriting discounts or commissions with respect to the shares that were sold in this private placement.</w:t>
      </w:r>
    </w:p>
    <w:p>
      <w:pPr>
        <w:spacing w:after="0" w:line="18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We believe our existing cash, cash equivalents, and marketable securities, together with net cash provided by operations, will be sufficient to meet our needs for at least the next 12 months.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the timing and extent of additional capital expenditures to invest in existing and new office spaces.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30"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Three Months Ended</w:t>
      </w:r>
    </w:p>
    <w:p>
      <w:pPr>
        <w:jc w:val="center"/>
        <w:ind w:left="5340"/>
        <w:spacing w:after="0" w:line="236" w:lineRule="auto"/>
        <w:rPr>
          <w:sz w:val="20"/>
          <w:szCs w:val="20"/>
          <w:color w:val="auto"/>
        </w:rPr>
      </w:pPr>
      <w:r>
        <w:rPr>
          <w:rFonts w:ascii="Arial" w:cs="Arial" w:eastAsia="Arial" w:hAnsi="Arial"/>
          <w:sz w:val="14"/>
          <w:szCs w:val="14"/>
          <w:b w:val="1"/>
          <w:bCs w:val="1"/>
          <w:color w:val="auto"/>
        </w:rPr>
        <w:t>April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7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17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230"/>
        </w:trPr>
        <w:tc>
          <w:tcPr>
            <w:tcW w:w="17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22,236</w:t>
            </w:r>
          </w:p>
        </w:tc>
        <w:tc>
          <w:tcPr>
            <w:tcW w:w="4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2,759</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(1,319)</w:t>
            </w:r>
          </w:p>
        </w:tc>
        <w:tc>
          <w:tcPr>
            <w:tcW w:w="4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(7,530)</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545,252</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648"/>
        </w:trPr>
        <w:tc>
          <w:tcPr>
            <w:tcW w:w="17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0" w:type="dxa"/>
            <w:vAlign w:val="bottom"/>
          </w:tcPr>
          <w:p>
            <w:pPr>
              <w:jc w:val="right"/>
              <w:ind w:right="127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27" w:name="page28"/>
    <w:bookmarkEnd w:id="27"/>
    <w:p>
      <w:pPr>
        <w:ind w:left="5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Net cash provided by operating activities of $22.2 million for the three months ended April 30, 2019 was primarily due to net income of $2.2 million, adjusted for non-cash charges for amortization of deferred contract acquisition costs, primarily commissions, of $7.4 million, stock-based compensation expense of $6.7 million, depreciation and amortization of $3.3 million, and amortization of operating lease right-of-use assets of $1.5 million. Changes in operating assets and liabilities were unfavorable to cash flows from operations by $0.1 million primarily due an increase in accounts receivable of $16.1 million and an increase in deferred contract acquisition costs of $14.4 million due to increases in sales, and an increase in prepaid expenses and other assets of $8.6 million, partially offset by an increase in deferred revenue of $23.6 million driven by increases in sales, and an increase in accounts payable and accrued expenses and other liabilities of $16.6 million.</w:t>
      </w:r>
    </w:p>
    <w:p>
      <w:pPr>
        <w:spacing w:after="0" w:line="189"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Net cash provided by operating activities of $2.8 million for the three months ended April 30, 2018 was primarily due to net loss of $1.3 million, adjusted for non-cash charges for amortization of deferred contract acquisition costs, primarily commissions, of $3.9 million, depreciation and amortization of $1.2 million, and stock-based compensation expense of $0.8 million. Changes in operating assets and liabilities were unfavorable to cash flows from operations by $2.3 million primarily due to an increase in accounts receivable of $13.4 million and an increase in deferred contract acquisition costs of</w:t>
      </w:r>
    </w:p>
    <w:p>
      <w:pPr>
        <w:spacing w:after="0" w:line="2"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$9.1 million due to increases in sales, and an increase in prepaid expenses and other assets of $1.9 million, partially offset by an increase in deferred revenue of $17.6 million driven by increases in sales, and an increase in accounts payable and accrued expenses and other liabilities of $4.5 million.</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Net cash used in investing activities of $1.3 million for the three months ended April 30, 2019 was primarily due to purchases of property and equipment of $6.9 million, partially offset by maturities of marketable securities, net of purchases, of $5.6 million.</w:t>
      </w:r>
    </w:p>
    <w:p>
      <w:pPr>
        <w:spacing w:after="0" w:line="170"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Net cash used in investing activities of $7.5 million for the three months ended April 30, 2018 was primarily due to purchases of property and equity of $3.9 million and net purchases of marketable securities of $3.7 million.</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Net cash provided by financing activities of $545.3 million for the three months ended April 30, 2019 was primarily due to proceeds from the issuance of Class A common stock in connection with the IPO, net of underwriting discounts and commissions and other offering costs, of $543.5 million, and the exercise of stock options, net of repurchases, of $1.8 million.</w:t>
      </w:r>
    </w:p>
    <w:p>
      <w:pPr>
        <w:spacing w:after="0" w:line="18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Net cash provided by financing activities of $0.1 million for the three months ended April 30, 2018 was primarily due to proceeds from the exercise of stock options of $0.2 million, partially offset by principal payments on capital lease obligations of $0.1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12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There were no material changes outside of the ordinary course of business in our commitments and contractual obligations during the three months ended April 30, 2019 from the commitments and contractual obligations disclosed in Management's Discussion and Analysis of Financial Condition and Results of Operations, set forth in our Prospectus.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Through April 30, 2019,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Critical accounting policies and estimates are those accounting policies and estimates that are both the most important to the portrayal of our net assets and results of operations and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8" w:name="page29"/>
    <w:bookmarkEnd w:id="28"/>
    <w:p>
      <w:pPr>
        <w:ind w:right="320" w:firstLine="518"/>
        <w:spacing w:after="0" w:line="308" w:lineRule="auto"/>
        <w:rPr>
          <w:sz w:val="20"/>
          <w:szCs w:val="20"/>
          <w:color w:val="auto"/>
        </w:rPr>
      </w:pPr>
      <w:r>
        <w:rPr>
          <w:rFonts w:ascii="Arial" w:cs="Arial" w:eastAsia="Arial" w:hAnsi="Arial"/>
          <w:sz w:val="17"/>
          <w:szCs w:val="17"/>
          <w:color w:val="auto"/>
        </w:rPr>
        <w:t>There have been no material changes to our critical accounting policies and estimates as compared to the critical accounting policies and estimates described in our Management's Discussion and Analysis of Financial Condition and Results of Operations, set forth in our Prospectus.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See “Summary of Business and Significant Accounting Policies” in Note 1 of the notes to our condensed consolidated financial statements included in Part I, Item 1 of this Form 10-Q.</w:t>
      </w: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and Exchange Risk</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vast majority of our cash generated from revenue are denominated in U.S. dollars, with a small amount denominated in foreign currencies. Our expenses are generally denominated in the currencies of the jurisdictions in which we conduct our operations, which are primarily in the United States, China, Europe, and Australia. Our results of current and future operations and cash flows are, therefore, subject to fluctuations due to changes in foreign currency exchange rates. The effect of a hypothetical 10% change in foreign currency exchange rates applicable to our business would not have had a material impact on our historical condensed consolidated financials for the three months ended April 30, 2019 and 2018.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80" w:firstLine="518"/>
        <w:spacing w:after="0" w:line="253" w:lineRule="auto"/>
        <w:rPr>
          <w:sz w:val="20"/>
          <w:szCs w:val="20"/>
          <w:color w:val="auto"/>
        </w:rPr>
      </w:pPr>
      <w:r>
        <w:rPr>
          <w:rFonts w:ascii="Arial" w:cs="Arial" w:eastAsia="Arial" w:hAnsi="Arial"/>
          <w:sz w:val="18"/>
          <w:szCs w:val="18"/>
          <w:color w:val="auto"/>
        </w:rPr>
        <w:t>We had cash and cash equivalents of $629.8 million and marketable securities of $107.4 million as of April 30, 2019. Cash and cash equivalents consist of bank deposits, money market funds, and U.S. treasury securities. Our marketable securities generally consist of high-grade commercial paper, corporate bonds, agency bonds, and U.S. government agency securities.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condensed consolidated financial statements for the three months ended April 30, 2019 or 2018.</w:t>
      </w:r>
    </w:p>
    <w:p>
      <w:pPr>
        <w:spacing w:after="0" w:line="3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Our management, with the participation of our principal executive officer and our principal financial officer,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such evaluation, our principal executive officer and principal financial officer have concluded that, as of such date, our disclosure controls and procedures were effective at the reasonable assurance level.</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29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i w:val="1"/>
          <w:iCs w:val="1"/>
          <w:color w:val="auto"/>
        </w:rPr>
        <w:t>Investing in our securities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securities. The risks and uncertainties described below may not be the only ones we face. If any of the risks actually occur, our business could be materially and adversely affected. In that event, the market price of our Class A common stock could decline, and you could lose part or all of your investment.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2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38"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Our business depends upon our ability to attract new customers and hosts and maintain and expand our relationships with our customers and hosts, including upselling additional products to our existing customers and upgrading hosts to a paid Zoom Meeting plan. A host is any user of our video-first communications platform who initiates a Zoom Meeting and invites one or more participants to join that meeting. We refer to hosts who subscribe to a paid Zoom Meeting plan as “paid hosts.” We define a customer as a separate and distinct buying entity, which can be a single paid host or an organization of any size (including a distinct unit of an organization) that has multiple paid hosts.</w:t>
      </w:r>
    </w:p>
    <w:p>
      <w:pPr>
        <w:spacing w:after="0" w:line="173"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Our business is subscription based, and customers are not obligated to and may not renew their subscriptions after their existing subscriptions expire. As a result, we cannot provide assurance that customers will renew their subscriptions utilizing the same tier of their Zoom Meeting plan, upgrade to a higher-priced tier or purchase additional products, if they renew at all. Renewals of subscriptions to our platform may decline or fluctuate because of several factors, such as dissatisfaction with our products and support, a customer or host no longer having a need for our products, or the perception that competitive products provide better or less expensive options. In addition, some customers downgrade their Zoom Meeting plan or do not renew their subscriptions. We must continually add new customers and hosts to grow our business beyond our current user base and to replace customers and hosts who choose not to continue to use our platform. Any decrease in user satisfaction with our products or support would harm our brand, word-of-mouth referrals and ability to grow.</w:t>
      </w:r>
    </w:p>
    <w:p>
      <w:pPr>
        <w:spacing w:after="0" w:line="167"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color w:val="auto"/>
        </w:rPr>
        <w:t>We encourage customers to purchase additional products and encourage hosts to upgrade to our paid offerings by recommending additional features and through in-product prompts and notifications. Additionally, we seek to expand within organizations by adding new hosts, having workplaces purchase additional products, or expanding the use of Zoom into other teams and departments within an organization. At the same time, we strive to demonstrate the value of our platform and various product offerings to those hosts that subscribe to our free Zoom Meeting plan, thereby encouraging them to upgrade to a paid Zoom Meeting plan. However, a majority of these hosts may never upgrade to a paid Zoom Meeting plan. If we fail to upsell our customers or upgrade hosts of our free Zoom Meeting plan to a paid subscription or expand the number of paid hosts within organizations, our business would be harmed.</w:t>
      </w:r>
    </w:p>
    <w:p>
      <w:pPr>
        <w:spacing w:after="0" w:line="165"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In addition, our user growth rate may slow in the future as our market penetration rates increase and we turn our focus to upgrading our free hosts to a paid Zoom Meeting plan rather than growing the total number of users. If we are not able to continue to expand our user base or fail to upgrade our free hosts to a paid Zoom Meeting plan, our revenue may grow more slowly than expected or decline.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evaluate our prospects and future results of operations.</w:t>
      </w:r>
    </w:p>
    <w:p>
      <w:pPr>
        <w:spacing w:after="0" w:line="117"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color w:val="auto"/>
        </w:rPr>
        <w:t>We were incorporated in 2011. As a result of our limited operating history, our ability to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competitive markets, and we must continue to compete effectively.</w:t>
      </w:r>
    </w:p>
    <w:p>
      <w:pPr>
        <w:spacing w:after="0" w:line="11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market for communication and collaboration technologies platforms is competitive and rapidly changing. Certain features of our current platform compete in the communication and collaboration technologies market with products offered by:</w:t>
      </w:r>
    </w:p>
    <w:p>
      <w:pPr>
        <w:spacing w:after="0" w:line="62"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legacy web-based meeting providers, including Webex and Skype for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bundled productivity solutions providers with basic video functionality, including Google;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point solutions providers, including LogMeIn.</w:t>
      </w:r>
    </w:p>
    <w:p>
      <w:pPr>
        <w:spacing w:after="0" w:line="225"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Other large established companies like Amazon and Facebook have in the past and may in the future also make investments in video communications tools. In addition, as we introduce new products and services, and with the introduction of new technologies and market entrants, we expect competition to intensify in the future. For example, we recently introduced Zoom Phone, a cloud phone system that will allow customers to replace their existing private branch exchange solution, in the future, which will result in increased competition against companies that offer similar services and new competitors that may enter that market in the future. Further, many of our actual and potential competitors benefit from competitive advantages over us, such as greater name recognition, longer operating histories, more varied products and services, larger marketing budgets, more established marketing relationships, third-party integration, greater accessibility across devices or applications,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178"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video communications needs. There can be no assurance that we will not be forced to engage in price-cutting initiatives or other discounts or to increase our marketing and other expenses to attract and retain customers in response to competitive pressures, either of which would harm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11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We have experienced significant revenue growth in prior periods. You should not rely on the revenue growth of any prior quarterly or annual period as an indication of our future performance. We expect our revenue growth rate to decline in future periods. Many factors may contribute to declines in our growth rate, including higher market penetration, increased competition, slowing demand for our platform, a failure by us to continue capitalizing on growth opportunities and the maturation of our business, among others. If our growth rate declines, investors’ perceptions of our business and the trading price of our Class A common stock could be adversely affected.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ind w:right="540"/>
        <w:spacing w:after="0" w:line="277" w:lineRule="auto"/>
        <w:rPr>
          <w:sz w:val="20"/>
          <w:szCs w:val="20"/>
          <w:color w:val="auto"/>
        </w:rPr>
      </w:pPr>
      <w:r>
        <w:rPr>
          <w:rFonts w:ascii="Arial" w:cs="Arial" w:eastAsia="Arial" w:hAnsi="Arial"/>
          <w:sz w:val="18"/>
          <w:szCs w:val="18"/>
          <w:b w:val="1"/>
          <w:bCs w:val="1"/>
          <w:i w:val="1"/>
          <w:iCs w:val="1"/>
          <w:color w:val="auto"/>
        </w:rPr>
        <w:t>Interruptions, delays or outages in service from our co-located data centers and a variety of other factors would impair the delivery of our services, require us to issue credits or pay penalties and harm our business.</w:t>
      </w:r>
    </w:p>
    <w:p>
      <w:pPr>
        <w:spacing w:after="0" w:line="62"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We currently serve our users from various co-located data centers located throughout the world. We also utilize Amazon Web Services and Microsoft Azure for the hosting of certain critical aspects of our business. As part of our distributed meeting architecture, we establish private links between data centers that automatically transfer data between various data centers in order to optimize performance on our platform.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fraud, general internet availability issues, spikes in usage and denial of service issues. In some instances, we may not be able to identify the cause or causes of these performance problems within an acceptable period of time. For example, in January 2019, we experienced an outage in our services for less than two hours, which we later determined was initially caused by a technical issue with one of our vendors. Additionally, in connection with the addition of new data centers or expansion or consolidation of our existing data center facilities or other reasons, we may move or transfer our data and our users’ metadata to other data centers.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may cause customers and hosts to terminate their subscriptions and adversely affect our ability to attract new customers and hosts. Our ability to attract and retain customers and hosts depends on our ability to provide customers and hosts with a highly reliable platform and even minor interruptions or delays in our services could harm our business.</w:t>
      </w:r>
    </w:p>
    <w:p>
      <w:pPr>
        <w:spacing w:after="0" w:line="183"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Additionally, if our data centers are unable to keep up with our increasing needs for capacity, customers may experience delays as we seek to obtain additional capacity, which could harm our business.</w:t>
      </w:r>
    </w:p>
    <w:p>
      <w:pPr>
        <w:spacing w:after="0" w:line="170"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and similar events,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spacing w:after="0" w:line="27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38"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Unlike traditional communications and collaborations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grows and their usage of communications capacity increases, we will be required to make additional investments in network capacity to maintain adequate data transmission speeds, the availability of which may be limited, or the cost of which may be on terms unacceptable to us. If adequate capacity is not available to us as our user base grows,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and could permanently harm our business.</w:t>
      </w:r>
    </w:p>
    <w:p>
      <w:pPr>
        <w:spacing w:after="0" w:line="183"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In addition, users who access our platform through mobile devices, such as smartphones and tablets, must have a high-speed connection, such as 3G, 4G or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2" w:name="page33"/>
    <w:bookmarkEnd w:id="32"/>
    <w:p>
      <w:pPr>
        <w:ind w:firstLine="518"/>
        <w:spacing w:after="0" w:line="289" w:lineRule="auto"/>
        <w:rPr>
          <w:sz w:val="20"/>
          <w:szCs w:val="20"/>
          <w:color w:val="auto"/>
        </w:rPr>
      </w:pPr>
      <w:r>
        <w:rPr>
          <w:rFonts w:ascii="Arial" w:cs="Arial" w:eastAsia="Arial" w:hAnsi="Arial"/>
          <w:sz w:val="16"/>
          <w:szCs w:val="16"/>
          <w:color w:val="auto"/>
        </w:rPr>
        <w:t>On January 4, 2018, the Federal Communications Commission (FCC) released an order reclassifying broadband internet access as an information service,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and are the subject of various appeals and congressional review. Moreover, a number of states are adopting or considering legislation or executive actions that would regulate the conduct of broadband providers. We cannot predict whether the FCC order or state initiatives will be modified, overturned, or vacated by legal action of the court, federal legislation, or the FCC. Under the new rules, broadband internet access providers may be able to charge web-based services such as ours for priority access, which could result in increased costs and a loss of existing customers and hosts, impair our ability to attract new customers and hosts, and harm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 we increase sales to large organizations, our sales cycles could lengthen, and we could experience greater deployment challenges.</w:t>
      </w:r>
    </w:p>
    <w:p>
      <w:pPr>
        <w:spacing w:after="0" w:line="129"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As our business evolves, we may need to invest more resources into sales to large organizations.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pacing w:after="0" w:line="2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62"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demand for our platform could be negatively affected.</w:t>
      </w:r>
    </w:p>
    <w:p>
      <w:pPr>
        <w:spacing w:after="0" w:line="147"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73"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awareness of the communications and collaboration technologies category generally;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modes of communications and collaboration that may be developed in the future;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reliability of our platform, including frequency of outages;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user support;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3" w:name="page34"/>
    <w:bookmarkEnd w:id="33"/>
    <w:p>
      <w:pPr>
        <w:ind w:right="60"/>
        <w:spacing w:after="0" w:line="264" w:lineRule="auto"/>
        <w:rPr>
          <w:sz w:val="20"/>
          <w:szCs w:val="20"/>
          <w:color w:val="auto"/>
        </w:rPr>
      </w:pPr>
      <w:r>
        <w:rPr>
          <w:rFonts w:ascii="Arial" w:cs="Arial" w:eastAsia="Arial" w:hAnsi="Arial"/>
          <w:sz w:val="18"/>
          <w:szCs w:val="18"/>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73"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LinkedIn, Microsoft, Salesforce, Slack and a variety of other productivity, collaboration, data management and security vendors. We are dependent on the accessibility of our platform across these and other third-party operating systems and applications that we do not control.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167"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192"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In addition, we provide, develop and create applications for our platform partners that integrate our platform with our partners’ various offerings. For example, our Zoom Meetings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respond to rapid technological changes, extend our platform or develop new features.</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The communications and collaboration technologies market is characterized by rapid technological change and frequent new product and service introductions. Our ability to grow our user base and increase revenue from customers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We invest significantly in research and development, and our goal is to focus our spending on measures that improve quality and ease of adoption and create organic user demand for our platform. There is no assurance that our enhancements to our platform or our new product experiences, features or capabilities will be compelling to our users or gain market acceptance. If our research and development investments do not accurately anticipate user demand, or if we fail to develop our platform in a manner that satisfies user preferences in a timely and cost-effective manner, we may fail to retain our existing users or increase demand for our platform.</w:t>
      </w:r>
    </w:p>
    <w:p>
      <w:pPr>
        <w:spacing w:after="0" w:line="166"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hosts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4" w:name="page35"/>
    <w:bookmarkEnd w:id="34"/>
    <w:p>
      <w:pPr>
        <w:ind w:right="420"/>
        <w:spacing w:after="0" w:line="277" w:lineRule="auto"/>
        <w:rPr>
          <w:sz w:val="20"/>
          <w:szCs w:val="20"/>
          <w:color w:val="auto"/>
        </w:rPr>
      </w:pPr>
      <w:r>
        <w:rPr>
          <w:rFonts w:ascii="Arial" w:cs="Arial" w:eastAsia="Arial" w:hAnsi="Arial"/>
          <w:sz w:val="18"/>
          <w:szCs w:val="18"/>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62" w:lineRule="exact"/>
        <w:rPr>
          <w:sz w:val="20"/>
          <w:szCs w:val="20"/>
          <w:color w:val="auto"/>
        </w:rPr>
      </w:pPr>
    </w:p>
    <w:p>
      <w:pPr>
        <w:jc w:val="both"/>
        <w:ind w:right="240" w:firstLine="518"/>
        <w:spacing w:after="0" w:line="264" w:lineRule="auto"/>
        <w:rPr>
          <w:sz w:val="20"/>
          <w:szCs w:val="20"/>
          <w:color w:val="auto"/>
        </w:rPr>
      </w:pPr>
      <w:r>
        <w:rPr>
          <w:rFonts w:ascii="Arial" w:cs="Arial" w:eastAsia="Arial" w:hAnsi="Arial"/>
          <w:sz w:val="18"/>
          <w:szCs w:val="18"/>
          <w:color w:val="auto"/>
        </w:rPr>
        <w:t>Our ability to increase our customer and host base and achieve broader market acceptance of our products and services will depend to a significant extent on our ability to expand our marketing and sales operations. We plan to continue expanding our sales force and strategic partners, both domestically and internationally.</w:t>
      </w:r>
    </w:p>
    <w:p>
      <w:pPr>
        <w:spacing w:after="0" w:line="18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Identifying and recruiting qualified sales representatives and training them is time-consuming and resource-intensive, and they may not be fully trained and productive for a significant amount of time. We also plan to dedicate significant resources to sales and marketing programs, including internet and other online advertising. Further, we are currently recruiting a new Head of Worldwide Sales or role with similar responsibility, which will require significant management time and resources. All of these efforts will require us to invest significant financial and other resources. In addition, the cost to acquire customers and hosts is high due to these marketing and sales efforts. Our business will be harmed if our efforts do not generate a correspondingly significant increase in revenue. We will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28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security measures have on occasion, in the past, been, and may in the future be, compromised. Consequently, our products and services may be perceived as not being secure. This perception may result in customers and hosts curtailing or ceasing their use of our products, our incurring significant liabilities and our business being harmed.</w:t>
      </w:r>
    </w:p>
    <w:p>
      <w:pPr>
        <w:spacing w:after="0" w:line="73" w:lineRule="exact"/>
        <w:rPr>
          <w:sz w:val="20"/>
          <w:szCs w:val="20"/>
          <w:color w:val="auto"/>
        </w:rPr>
      </w:pPr>
    </w:p>
    <w:p>
      <w:pPr>
        <w:jc w:val="both"/>
        <w:ind w:right="100" w:firstLine="518"/>
        <w:spacing w:after="0" w:line="288" w:lineRule="auto"/>
        <w:rPr>
          <w:sz w:val="20"/>
          <w:szCs w:val="20"/>
          <w:color w:val="auto"/>
        </w:rPr>
      </w:pPr>
      <w:r>
        <w:rPr>
          <w:rFonts w:ascii="Arial" w:cs="Arial" w:eastAsia="Arial" w:hAnsi="Arial"/>
          <w:sz w:val="16"/>
          <w:szCs w:val="16"/>
          <w:color w:val="auto"/>
        </w:rPr>
        <w:t>Our operations involve the storage and transmission of customer data or information, and security incidents have occurred in the past, and may occur in the future, resulting in unauthorized access to, loss of or unauthorized disclosure of this information, regulatory enforcement actions, litigation, indemnity obligations and other possible liabilities, as well as negative publicity, which could damage our reputation, impair our sales and harm our business.</w:t>
      </w:r>
    </w:p>
    <w:p>
      <w:pPr>
        <w:ind w:right="60"/>
        <w:spacing w:after="0" w:line="281" w:lineRule="auto"/>
        <w:rPr>
          <w:sz w:val="20"/>
          <w:szCs w:val="20"/>
          <w:color w:val="auto"/>
        </w:rPr>
      </w:pPr>
      <w:r>
        <w:rPr>
          <w:rFonts w:ascii="Arial" w:cs="Arial" w:eastAsia="Arial" w:hAnsi="Arial"/>
          <w:sz w:val="16"/>
          <w:szCs w:val="16"/>
          <w:color w:val="auto"/>
        </w:rPr>
        <w:t>Cyberattacks and other malicious internet-based activity continue to increase, and cloud-based platform providers of products and services have been and are expected to continue to be targeted. In addition to traditional computer “hackers,” malicious code (such as viruses and worms), employee theft or</w:t>
      </w:r>
    </w:p>
    <w:p>
      <w:pPr>
        <w:spacing w:after="0" w:line="1"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color w:val="auto"/>
        </w:rPr>
        <w:t>misuse and denial-of-service attacks, sophisticated nation-state and nation-state supported actors now engage in attacks (including advanced persistent threat intrusions). Despite significant efforts to create security barriers to such threats, it is virtually impossible for us to entirely mitigate these risks. If our security measures are compromised as a result of third-party action, employee, customer, host or user error, malfeasance, stolen or fraudulently-obtained log-</w:t>
      </w:r>
    </w:p>
    <w:p>
      <w:pPr>
        <w:spacing w:after="0" w:line="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credentials or otherwise, our reputation would be damaged, our data, information or intellectual property, or those of our customers, may be destroyed, stolen or otherwise compromised, our business may be harmed and we could incur significant liability. We have not always been able in the past and may be unable in the future to anticipate or prevent techniques used to obtain unauthorized access or to compromise our systems because they change frequently and are generally not detected until after an incident has occurred. For example, in July 2018 we were made aware of a vulnerability in the Zoom Meeting client for Windows that could result in potential exposure of a Zoom user’s password. Additionally, in 2018, a cybersecurity company discovered a vulnerability in our software that could be exploited by hackers to exert certain meeting controls. While we were able to deploy updates to the software addressing these vulnerabilities and we are not aware of any customers being affected or meetings compromised by these vulnerabilities, customers are responsible for installing this update to the software and their software is subject to these vulnerabilities until they do so. Additionally, we cannot be certain that we will be able to address any vulnerabilities in our software that we may become aware of in the future. We expect similar issues to arise in the future as we continue to expand the features and functionality of existing products and introduce new products, and we expect to expend significant resources in an effort to protect against security incidents. Concerns regarding privacy, data protection and information security may cause some of our customers and hosts to stop using our solutions and fail to renew their subscriptions. This discontinuance in use or failure to renew could substantially harm our business. Further, as we rely on third-party and public-cloud infrastructure, we depend in part on third-party security measures to protect against unauthorized access, cyberattacks and the mishandling of data and information. In addition, failures to meet customers’ and hosts’ expectations with respect to security and confidentiality of their data and information could damage our reputation and affect our ability to retain customers and hosts, attract new customers and hosts and grow our business. In addition, a cybersecurity event could result in significant increases in costs, including costs for remediating the effects of such an event, lost revenue due to network downtime, and a decrease in customer, host and user trust, increases in insurance premiums due to cybersecurity incidents, increased costs to address cybersecurity issues and attempts to prevent future incidents, and harm to our business and our reputation because of any such incident.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35" w:name="page36"/>
    <w:bookmarkEnd w:id="35"/>
    <w:p>
      <w:pPr>
        <w:ind w:right="100" w:firstLine="518"/>
        <w:spacing w:after="0" w:line="272" w:lineRule="auto"/>
        <w:rPr>
          <w:sz w:val="20"/>
          <w:szCs w:val="20"/>
          <w:color w:val="auto"/>
        </w:rPr>
      </w:pPr>
      <w:r>
        <w:rPr>
          <w:rFonts w:ascii="Arial" w:cs="Arial" w:eastAsia="Arial" w:hAnsi="Arial"/>
          <w:sz w:val="17"/>
          <w:szCs w:val="17"/>
          <w:color w:val="auto"/>
        </w:rPr>
        <w:t>Many governments have enacted laws requiring companies to provide notice of data security incidents involving certain types of personal data. In addition, some of our customers require us to notify them of data security breaches. Security compromises experienced by our competitors, by our customers or by us may lead to public disclosures, which may lead to widespread negative publicity. In addition, we have a high concentration of research and development personnel in China, which could expose us to market scrutiny regarding the integrity of our solution or data security features. Any security compromise in our industry, whether actual or perceived, could harm our reputation, erode confidence in the effectiveness of our security measures, negatively affect our ability to attract new customers and hosts, cause existing customers to elect not to renew their subscriptions or subject us to third-party lawsuits, regulatory fines or other action or liability, which could harm our business.</w:t>
      </w:r>
    </w:p>
    <w:p>
      <w:pPr>
        <w:spacing w:after="0" w:line="178" w:lineRule="exact"/>
        <w:rPr>
          <w:sz w:val="20"/>
          <w:szCs w:val="20"/>
          <w:color w:val="auto"/>
        </w:rPr>
      </w:pPr>
    </w:p>
    <w:p>
      <w:pPr>
        <w:ind w:right="200" w:firstLine="518"/>
        <w:spacing w:after="0" w:line="273" w:lineRule="auto"/>
        <w:rPr>
          <w:sz w:val="20"/>
          <w:szCs w:val="20"/>
          <w:color w:val="auto"/>
        </w:rPr>
      </w:pPr>
      <w:r>
        <w:rPr>
          <w:rFonts w:ascii="Arial" w:cs="Arial" w:eastAsia="Arial" w:hAnsi="Arial"/>
          <w:sz w:val="17"/>
          <w:szCs w:val="17"/>
          <w:color w:val="auto"/>
        </w:rPr>
        <w:t>There can be no assurance that any limitations of liability provisions in our subscription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would harm our business.</w:t>
      </w:r>
    </w:p>
    <w:p>
      <w:pPr>
        <w:spacing w:after="0" w:line="2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62"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We believe that our brand identity and awareness have contributed to our success and have helped fuel our efficient go-to-market strategy. We connect people through frictionless video, voice, chat and content sharing. We also believe that maintaining and enhancing the Zoom brand is critical to expanding our base of customers, hosts and users and, in particular, conveying to users and the public that the Zoom brand consists of a broad communications platform, rather than just one distinct product. For example, if users incorrectly view the Zoom brand primarily as a video conferencing point solution or utility rather than as a platform with multiple communications solutions, then our market position may be detrimentally impacted at such time as a competitor introduces a new or better product. We anticipate that, as our market becomes increasingly competitive, maintaining and enhancing our brand may become increasingly difficult and expensive. Any unfavorable publicity or perception of our platform or the providers of communication and collaboration technologies generally could adversely affect our reputation and our ability to attract and retain hosts. If we fail to promote and maintain the Zoom brand, including consumer and public perception of our platform, or if we incur excessive expenses in this effort, our business will be harmed.</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history of net losses, and we expect to increase our expenses in the future, which could prevent us from achieving or maintaining profitability.</w:t>
      </w:r>
    </w:p>
    <w:p>
      <w:pPr>
        <w:spacing w:after="0" w:line="152" w:lineRule="exact"/>
        <w:rPr>
          <w:sz w:val="20"/>
          <w:szCs w:val="20"/>
          <w:color w:val="auto"/>
        </w:rPr>
      </w:pPr>
    </w:p>
    <w:p>
      <w:pPr>
        <w:ind w:right="80" w:firstLine="518"/>
        <w:spacing w:after="0" w:line="286" w:lineRule="auto"/>
        <w:rPr>
          <w:sz w:val="20"/>
          <w:szCs w:val="20"/>
          <w:color w:val="auto"/>
        </w:rPr>
      </w:pPr>
      <w:r>
        <w:rPr>
          <w:rFonts w:ascii="Arial" w:cs="Arial" w:eastAsia="Arial" w:hAnsi="Arial"/>
          <w:sz w:val="16"/>
          <w:szCs w:val="16"/>
          <w:color w:val="auto"/>
        </w:rPr>
        <w:t>Although we generated net income of $2.2 million for the three months ended April 30, 2019, we have incurred net losses in the past, including a net loss of $1.3 million for the three months ended April 30, 2018, and could incur net losses in the future. We intend to continue to expend significant funds to expand our direct sales force and marketing efforts to attract new customers and hosts, to develop and enhance our products and for general corporate purposes, including operations, hiring additional personnel, upgrading our infrastructure and expanding into new geographical markets. To the extent we are successful in increasing our user base, we may also incur increased losses because, other than sales commissions, the costs associated with acquiring customers and hosts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We may incur significant losses in the future for a number of reasons, including as a result of the other risks described herein, and unforeseen expenses, difficulties, complications, delays and other unknown events. If we are unable to achieve and sustain profitability, the value of our business and Class A common stock may significantly decrease. Furthermore, it is difficult to predict the size and growth rate of our market, customer demand for our platform, user adoption and renewal of our platform,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business would be harmed.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manage our growth or plan for future growth.</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Since our founding in 2011, we have experienced rapid growth. For example, our headcount has grown from 1,117 full-time employees as of April 30, 2018 to 1,958 full-time employees as of April 30, 2019, with employees located both in the United States and internationally. The growth and expansion of our business places a continuous, significant strain on our management, operational and financial resources. Further growth of our operations to support our user base, our expanding third-party relationships, our information technology systems and our internal controls and procedures may not be adequate to support our operations. In addition, as we continue to grow, we face challenges of integrating, developing and motivating a rapidly growing employee base in various countries around the world. Certain members of our management have not previously worked together for an extended period of time, and some do not have experience managing a public company, which may affect how they manage our growth. Managing our growth will also require significant expenditures and allocation of valuable management resources.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6" w:name="page37"/>
    <w:bookmarkEnd w:id="36"/>
    <w:p>
      <w:pPr>
        <w:ind w:right="100" w:firstLine="518"/>
        <w:spacing w:after="0" w:line="279" w:lineRule="auto"/>
        <w:rPr>
          <w:sz w:val="20"/>
          <w:szCs w:val="20"/>
          <w:color w:val="auto"/>
        </w:rPr>
      </w:pPr>
      <w:r>
        <w:rPr>
          <w:rFonts w:ascii="Arial" w:cs="Arial" w:eastAsia="Arial" w:hAnsi="Arial"/>
          <w:sz w:val="17"/>
          <w:szCs w:val="17"/>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sell subscriptions to our platform could be harmed by real or perceived material defects or errors in our platform.</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189" w:lineRule="exact"/>
        <w:rPr>
          <w:sz w:val="20"/>
          <w:szCs w:val="20"/>
          <w:color w:val="auto"/>
        </w:rPr>
      </w:pPr>
    </w:p>
    <w:p>
      <w:pPr>
        <w:ind w:right="460" w:firstLine="518"/>
        <w:spacing w:after="0" w:line="264" w:lineRule="auto"/>
        <w:rPr>
          <w:sz w:val="20"/>
          <w:szCs w:val="20"/>
          <w:color w:val="auto"/>
        </w:rPr>
      </w:pPr>
      <w:r>
        <w:rPr>
          <w:rFonts w:ascii="Arial" w:cs="Arial" w:eastAsia="Arial" w:hAnsi="Arial"/>
          <w:sz w:val="18"/>
          <w:szCs w:val="18"/>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73"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cause a reduction in revenue or delay in market acceptance of our platform;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us to issue refunds to our customers or expose us to claims for damages;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cause us to lose existing hosts and make it more difficult to attract new customers and hosts;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divert our development resources or require us to make extensive changes to our platform, which would increase our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our technical support costs;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harm our reputation and brand.</w:t>
      </w:r>
    </w:p>
    <w:p>
      <w:pPr>
        <w:spacing w:after="0" w:line="33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were to lose the services of our Chief Executive Officer or other members of our senior management team, we may not be able to execute our business strategy.</w:t>
      </w:r>
    </w:p>
    <w:p>
      <w:pPr>
        <w:spacing w:after="0" w:line="62" w:lineRule="exact"/>
        <w:rPr>
          <w:sz w:val="20"/>
          <w:szCs w:val="20"/>
          <w:color w:val="auto"/>
        </w:rPr>
      </w:pPr>
    </w:p>
    <w:p>
      <w:pPr>
        <w:ind w:right="200" w:firstLine="518"/>
        <w:spacing w:after="0" w:line="302" w:lineRule="auto"/>
        <w:rPr>
          <w:sz w:val="20"/>
          <w:szCs w:val="20"/>
          <w:color w:val="auto"/>
        </w:rPr>
      </w:pPr>
      <w:r>
        <w:rPr>
          <w:rFonts w:ascii="Arial" w:cs="Arial" w:eastAsia="Arial" w:hAnsi="Arial"/>
          <w:sz w:val="16"/>
          <w:szCs w:val="16"/>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operations in China. All of our executive officers are at</w:t>
      </w:r>
      <w:r>
        <w:rPr>
          <w:rFonts w:ascii="Arial" w:cs="Arial" w:eastAsia="Arial" w:hAnsi="Arial"/>
          <w:sz w:val="16"/>
          <w:szCs w:val="16"/>
          <w:b w:val="1"/>
          <w:bCs w:val="1"/>
          <w:color w:val="auto"/>
        </w:rPr>
        <w:t>-</w:t>
      </w:r>
      <w:r>
        <w:rPr>
          <w:rFonts w:ascii="Arial" w:cs="Arial" w:eastAsia="Arial" w:hAnsi="Arial"/>
          <w:sz w:val="16"/>
          <w:szCs w:val="16"/>
          <w:color w:val="auto"/>
        </w:rPr>
        <w:t>will employees, and we do not maintain any key person life insurance policies. The loss of any member of our senior management team would harm our business.</w:t>
      </w:r>
    </w:p>
    <w:p>
      <w:pPr>
        <w:spacing w:after="0" w:line="26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62"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For example, our former Head of Worldwide Sales recently transitioned from this position and as one of our executive officers to a corporate strategy role with us, and while he will continue to be a key contributor, we will need to spend significant resources on recruiting a new Head of Worldwide Sales or role with similar responsibility. If we fail to attract new personnel or fail to retain and motivate our current personnel, our business could be harmed.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7" w:name="page38"/>
    <w:bookmarkEnd w:id="37"/>
    <w:p>
      <w:pPr>
        <w:ind w:right="60" w:firstLine="518"/>
        <w:spacing w:after="0" w:line="271" w:lineRule="auto"/>
        <w:rPr>
          <w:sz w:val="20"/>
          <w:szCs w:val="20"/>
          <w:color w:val="auto"/>
        </w:rPr>
      </w:pPr>
      <w:r>
        <w:rPr>
          <w:rFonts w:ascii="Arial" w:cs="Arial" w:eastAsia="Arial" w:hAnsi="Arial"/>
          <w:sz w:val="17"/>
          <w:szCs w:val="17"/>
          <w:color w:val="auto"/>
        </w:rPr>
        <w:t>Many of the companies with which we compete for experienced personnel have greater resources than we have, and some of these companies may offer greater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179"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 For example, we were recently informed of a personal relationship involving our Chief Financial Officer and an individual with whom she worked, while they were both at her prior employer. After reviewing the facts and circumstances of the situation, we confirmed that our Chief Financial Officer can and should continue to serve in her role. However, these are the types of situations that will continue to challenge our culture of transparency, especially as we become a public company and operate under the rules and responsibilities to which public companies are subject.</w:t>
      </w:r>
    </w:p>
    <w:p>
      <w:pPr>
        <w:spacing w:after="0" w:line="179"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In addition, many of our employees may be able to receive significant proceeds from sales of our equity in the public markets after our initial public offering, which may reduce their motivation to continue to work for us. Moreover, our initial public offering could create disparities in wealth among our employees, which may harm our culture and relations among employees and our business.</w:t>
      </w:r>
    </w:p>
    <w:p>
      <w:pPr>
        <w:spacing w:after="0" w:line="28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continuing to expand our operations outside the United States, where we may be subject to increased business and economic risks that could harm our business.</w:t>
      </w:r>
    </w:p>
    <w:p>
      <w:pPr>
        <w:spacing w:after="0" w:line="62"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have customers in over 240 countries and our revenue from APAC and EMEA collectively represented 20% and 18% of our revenue for the three months ended April 30, 2019 and 2018, respectively. We plan to add local sales support in further select international markets over time. We also operate research and development centers in China, employing over 500 employees as of April 30, 2019. We expect to continue to expand our international operations, which may include opening offices in new jurisdictions and providing our platform in additional languages. Any new markets or countries into which we attempt to sell subscriptions to our platform may not be receptive. For example, we may not be able to expand further in some markets if we are not able to satisfy certain government- and industry-specific requirements. In addition, our 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Operating internationally subjects us to new risks and may increase risks that we currently face, including risks associated with:</w:t>
      </w:r>
    </w:p>
    <w:p>
      <w:pPr>
        <w:spacing w:after="0" w:line="70" w:lineRule="exact"/>
        <w:rPr>
          <w:sz w:val="20"/>
          <w:szCs w:val="20"/>
          <w:color w:val="auto"/>
        </w:rPr>
      </w:pPr>
    </w:p>
    <w:p>
      <w:pPr>
        <w:ind w:left="1040" w:right="260" w:hanging="519"/>
        <w:spacing w:after="0" w:line="342"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recruiting and retaining talented and capable employees outside the United States, complying with complex employment and compensation-related laws, regulations and practices in these international jurisdictions, and maintaining our company culture across all of our offices;</w:t>
      </w:r>
    </w:p>
    <w:p>
      <w:pPr>
        <w:spacing w:after="0" w:line="15" w:lineRule="exact"/>
        <w:rPr>
          <w:rFonts w:ascii="Arial" w:cs="Arial" w:eastAsia="Arial" w:hAnsi="Arial"/>
          <w:sz w:val="16"/>
          <w:szCs w:val="16"/>
          <w:color w:val="auto"/>
        </w:rPr>
      </w:pPr>
    </w:p>
    <w:p>
      <w:pPr>
        <w:ind w:left="1040" w:right="140" w:hanging="519"/>
        <w:spacing w:after="0" w:line="342"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15" w:lineRule="exact"/>
        <w:rPr>
          <w:rFonts w:ascii="Arial" w:cs="Arial" w:eastAsia="Arial" w:hAnsi="Arial"/>
          <w:sz w:val="16"/>
          <w:szCs w:val="16"/>
          <w:color w:val="auto"/>
        </w:rPr>
      </w:pPr>
    </w:p>
    <w:p>
      <w:pPr>
        <w:ind w:left="1040" w:right="400" w:hanging="519"/>
        <w:spacing w:after="0" w:line="264"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applicable international laws and regulations, including laws and regulations with respect to privacy, telecommunications requirements, data protection, consumer protection and unsolicited email, and the risk of penalties to us and individual members of management or employees if our practices are deemed to be out of compliance;</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management of an employee base in jurisdictions that may not give us the same employment and retention flexibility as does the United States;</w:t>
      </w:r>
    </w:p>
    <w:p>
      <w:pPr>
        <w:spacing w:after="0" w:line="140" w:lineRule="exact"/>
        <w:rPr>
          <w:rFonts w:ascii="Arial" w:cs="Arial" w:eastAsia="Arial" w:hAnsi="Arial"/>
          <w:sz w:val="16"/>
          <w:szCs w:val="16"/>
          <w:color w:val="auto"/>
        </w:rPr>
      </w:pPr>
    </w:p>
    <w:p>
      <w:pPr>
        <w:ind w:left="1040" w:right="82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to the same extent as does the United States and the practical enforcement of such intellectual property rights outside of the United States;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8" w:name="page39"/>
    <w:bookmarkEnd w:id="38"/>
    <w:p>
      <w:pPr>
        <w:ind w:left="1040" w:right="120" w:hanging="519"/>
        <w:spacing w:after="0" w:line="342" w:lineRule="auto"/>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foreign government interference with our non-core intellectual property that resides outside of the United States, such as the risk of changes in foreign laws that could restrict our ability to use our intellectual property outside of the foreign jurisdiction in which we developed it;</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integration with partners outside of the United States;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generally longer payment cycles and greater difficulty in collecting accounts receivable;</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income and other tax laws of the United States or the international jurisdictions in which we operate;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increased accounting, travel, infrastructure and legal compliance costs.</w:t>
      </w:r>
    </w:p>
    <w:p>
      <w:pPr>
        <w:spacing w:after="0" w:line="22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For example, our product development team is largely based in China, where personnel costs are less expensive than in many other jurisdictions. If we had to relocate our product development team from China to another jurisdiction, we could experience, among other things, higher operating expenses, which would adversely impact our operating margins and harm our business. In addition, we would need to spend considerable time and effort recruiting a new product development team, which would distract management and adversely impact our ability to continue improving our platform’s features and functionality.</w:t>
      </w:r>
    </w:p>
    <w:p>
      <w:pPr>
        <w:spacing w:after="0" w:line="28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Changes in government trade policies, including the imposition of tariffs and export restrictions, could limit our ability to sell our products to certain customers, which may materially adversely affect our sales and results of operations.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United States or foreign governments may take administrative, legislative or regulatory action that could materially interfere with our ability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sell products in certain countries, particularly in China. For example, in 2018, the United States imposed tariffs on a large variety of products of Chinese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origin and most recently, in May 2019, increased tariffs on $200 billion of Chinese goods to 25%. In response, China imposed or proposed new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higher tariffs on U.S. products. While the imposition of these tariffs did not have a direct, material adverse impact on our business during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ended April 30, 2019, the direct and indirect effects of tariffs and other restrictive trade policies are difficult to measure and are only one part of a larger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U.S./China economic and trade policy disagreement. We cannot predict what actions may ultimately be taken with respect to tariffs or trade relations between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United States and China or other countries, what products may be subject to such actions, or what actions may be taken by the other countries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retaliation.</w:t>
      </w:r>
    </w:p>
    <w:p>
      <w:pPr>
        <w:spacing w:after="0" w:line="21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Further, in May 2019, President Trump issued an executive order that invoked national emergency economic powers to implement a framework to regulate the acquisition or transfer of information communications technology in transactions that imposed undue national security risks. The executive order is subject to implementation by the Secretary of Commerce and applies to contracts entered into prior to the effective date of the order. In addition, the U.S. Commerce Department has implemented additional restrictions and may implement further restrictions that would affect conducting business with certain Chinese companies. Depending upon their duration and implementation, as well as our ability to mitigate their impact, these tariffs, the executive order and its implementation and other regulatory actions could materially affect our business, including in the form of increased cost of revenue, decreased margins, increased pricing for customers, and reduced sales.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11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Our quarterly results of operations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80"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retain and upgrade customers to higher-priced tiers of Zoom Meeting plans;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attract new hosts and upgrade hosts that subscribe to our free Zoom Meeting plan to one of our paid Zoom Meeting plans;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hire and retain employees, in particular those responsible for the selling or marketing of our platform;</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develop and retain talented sales personnel who are able to achieve desired productivity levels in a reasonable period of time and provide sales leadership in areas in which we are expanding our sales and marketing efforts;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way we organize and compensate our sales teams;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sales to large organizations;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length of sales cycles;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 as well as international expansion and entry into operating leases;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timing and effectiveness of new sales and marketing initiatives;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success of new products, features and functionality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interruptions or delays in our service, network outages, or actual or perceived privacy or security breaches;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large indemnification payments to our users or other third parties;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expenses related to any future acquisitions;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 small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are expensed as incurred, while revenue is recognized over the term of the subscription. As a result, growth in the number of new customers and hosts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tier of Zoom Meeting plan must be recognized over the applicable subscription term.</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40" w:name="page41"/>
    <w:bookmarkEnd w:id="40"/>
    <w:p>
      <w:pPr>
        <w:ind w:right="220"/>
        <w:spacing w:after="0" w:line="277" w:lineRule="auto"/>
        <w:rPr>
          <w:sz w:val="20"/>
          <w:szCs w:val="20"/>
          <w:color w:val="auto"/>
        </w:rPr>
      </w:pPr>
      <w:r>
        <w:rPr>
          <w:rFonts w:ascii="Arial" w:cs="Arial" w:eastAsia="Arial" w:hAnsi="Arial"/>
          <w:sz w:val="18"/>
          <w:szCs w:val="18"/>
          <w:b w:val="1"/>
          <w:bCs w:val="1"/>
          <w:i w:val="1"/>
          <w:iCs w:val="1"/>
          <w:color w:val="auto"/>
        </w:rPr>
        <w:t>Any failure to offer high-quality support for our customers and hosts may harm our relationships with our customers and hosts and, consequently, our business.</w:t>
      </w:r>
    </w:p>
    <w:p>
      <w:pPr>
        <w:spacing w:after="0" w:line="62"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have designed our platform to be easy to adopt and use with minimal to no support necessary. However, if we experience increased user demand for support, we may face increased costs that may harm our results of operations. In addition, as we continue to grow our operations and support our global user base, we need to be able to continue to provide efficient support that meets our customers and hosts’ needs globally at scale. Customers and hosts receive additional support features, and the number of our hosts has grown significantly, which will put additional pressure on our support organization. If we are unable to provide efficient user support globally at scale or if we need to hire additional support personnel, our business may be harmed. Our new customer and host signups are highly dependent on our business reputation and on positive recommendations from our existing customers and hosts. Any failure to maintain high-quality support, or a market perception that we do not maintain high-quality support for our customers and hosts, would harm our business.</w:t>
      </w:r>
    </w:p>
    <w:p>
      <w:pPr>
        <w:spacing w:after="0" w:line="27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actual or perceived failure to comply with privacy, data protection and information security laws, regulations, and obligations could harm our business.</w:t>
      </w:r>
    </w:p>
    <w:p>
      <w:pPr>
        <w:spacing w:after="0" w:line="62"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is changing, subject to differing interpretations and may be inconsistent among countries, or conflict with other rules. We are also subject to the terms of our privacy policies and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179"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We also expect that there will continue to be new laws, regulations and industry standards concerning privacy, data protection and information security proposed and enacted in various jurisdictions. For example, in May 2018, the General Data Protection Regulation (GDPR) went into effect in the European Union (EU). The GDPR imposed more stringent data protection requirements and provides greater penalties for noncompliance than previous data protection laws, including potential penalties of up to €20 million or 4% of annual global revenues. Further, following a referendum in June 2016 in which voters in the United Kingdom approved an exit from the EU, the United Kingdom government has initiated a process to leave the EU, known as Brexit. Brexit has created uncertainty with regard to the regulation of data protection in the United Kingdom. In particular, although the United Kingdom enacted a Data Protection Act in May 2018 that is designed to be consistent with the GDPR, uncertainty remains regarding how data transfers to and from the United Kingdom will be regulated. Additionally, although we have self-certified under the U.S.-EU and U.S.-Swiss Privacy Shield Frameworks with regard to our transfer of certain personal data from the EU and Switzerland to the United States, some regulatory uncertainty remains surrounding the future of data transfers from the EU and Switzerland to the United States, and we are monitoring regulatory developments in this area. California also recently enacted legislation, the California Consumer Privacy Act of 2018 (CCPA), that will afford consumers expanded privacy protections when it goes into effect on January 1, 2020. The CCPA was recently amended, and it is possible that it will be amended again before it goes into effect. The potential effects of this legislation are far-reaching and may require us to modify our data processing practices and policies and to incur substantial costs and expenses in an effort to comply. For example, the CCPA gives California residents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w:t>
      </w:r>
    </w:p>
    <w:p>
      <w:pPr>
        <w:spacing w:after="0" w:line="178"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With laws and regulations such as the GDPR in the EU and the CCPA in the United States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 data protection- or information security-related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platform.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1" w:name="page42"/>
    <w:bookmarkEnd w:id="41"/>
    <w:p>
      <w:pPr>
        <w:ind w:right="60" w:firstLine="518"/>
        <w:spacing w:after="0" w:line="255" w:lineRule="auto"/>
        <w:rPr>
          <w:sz w:val="20"/>
          <w:szCs w:val="20"/>
          <w:color w:val="auto"/>
        </w:rPr>
      </w:pPr>
      <w:r>
        <w:rPr>
          <w:rFonts w:ascii="Arial" w:cs="Arial" w:eastAsia="Arial" w:hAnsi="Arial"/>
          <w:sz w:val="18"/>
          <w:szCs w:val="18"/>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30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results of operations may be harmed if we are required to collect sales or other related taxes for our subscription services in jurisdictions where we have not historically done so.</w:t>
      </w:r>
    </w:p>
    <w:p>
      <w:pPr>
        <w:spacing w:after="0" w:line="62"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We collect sales tax in a number of jurisdictions. One or more states or countries may seek to impose incremental or new sales, use, or other tax collection obligations on us. A successful assertion by a state, country or other jurisdiction that we should have been or should be collecting additional sales, use, or other taxes could, among other things, result in substantial tax payments, create significant administrative burdens for us, discourage potential customers from subscribing to our platform due to the incremental cost of any such sales or other related taxes, or otherwise harm our business.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liabilities on past sales for taxes, surcharges and fees.</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We currently collect and remit applicable sales tax in jurisdictions where we, through our employees, have a presence and where we have determined, based on legal precedents in the jurisdiction, that sales of our platform are classified as taxable. We do not currently collect and remit other state and local excise, utility user and ad valorem taxes, fees or surcharges that may apply to our customers and hosts. We believe that we are not otherwise subject to, or required to collect, any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However, there is uncertainty as to what constitutes sufficient physical presence or nexus for a state or local jurisdiction to levy taxes, fees and surcharges for sales made over the internet, and there is also uncertainty as to whether our characterization of our platform as not taxable in certain jurisdictions will be accepted by state and local taxing authorities. Additionally, we have not historically collected value-added tax (VAT) or goods and services tax (GST) on sales of our platform because we make all of our sales through our office in the United States, and we believe, based on information provided to us by our customers, that most of our sales are made to business customers.</w:t>
      </w:r>
    </w:p>
    <w:p>
      <w:pPr>
        <w:spacing w:after="0" w:line="178"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Taxing authorities may challenge our position that we do not have sufficient nexus in a taxing jurisdiction or that our platform is not taxable in the jurisdiction and may decide to audit our business and operations with respect to sales, use, telecommunications, VAT, GST and other taxes, which could result in increased tax liabilities for us or our customers and hosts, which could harm our business.</w:t>
      </w:r>
    </w:p>
    <w:p>
      <w:pPr>
        <w:spacing w:after="0" w:line="181"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The application of indirect taxes (such as sales and use tax, VAT, GST, business tax and gross receipt tax) to businesses that transact online, such as ours, is a complex and evolving area. Following the recent U.S. Supreme Court decision in South Dakota v. Wayfair, Inc., states are now free to levy taxes on sales of goods and services based on an “economic nexus,” regardless of whether the seller has a physical presence in the state. As a result, it may be necessary to reevaluate whether our activities give rise to sales, use and other indirect taxes as a result of any nexus in those states in which we are not currently registered to collect and remit taxes. Additionally, we may need to assess our potential tax collection and remittance liabilities based on existing economic nexus laws’ dollar and transaction thresholds. We continue to analyze our exposure for such taxes and liabilities and have accrued $27.0 million and $22.0 million as of April 30, 2019 and January 31, 2019, respectively, for loss contingencies resulting from these potential taxes and liabilities. The application of existing, new, or future laws, whether in the U.S. or internationally, could harm our business. There have been, and will continue to be, substantial ongoing costs associated with complying with the various indirect tax requirements in the numerous markets in which we conduct or will conduct business.</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62"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 embargoed or 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ind w:right="20" w:firstLine="518"/>
        <w:spacing w:after="0" w:line="271" w:lineRule="auto"/>
        <w:rPr>
          <w:sz w:val="20"/>
          <w:szCs w:val="20"/>
          <w:color w:val="auto"/>
        </w:rPr>
      </w:pPr>
      <w:r>
        <w:rPr>
          <w:rFonts w:ascii="Arial" w:cs="Arial" w:eastAsia="Arial" w:hAnsi="Arial"/>
          <w:sz w:val="17"/>
          <w:szCs w:val="17"/>
          <w:color w:val="auto"/>
        </w:rPr>
        <w:t>Although we take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have submitted initial and final voluntary self-disclosures concerning potential violations of U.S. sanctions and export control laws and regulations to OFAC and the U.S. Department of Commerce’s Bureau of Industry and Security. If we are found to be in violation of U.S. economic sanctions or export control laws, it could result in fines and penalties. We may also be adversely affected through other penalties, reputational harm, loss of access to certain markets or otherwise. While we are working to implement additional controls designed to prevent similar activity from occurring in the future, these controls may not be fully effective.</w:t>
      </w:r>
    </w:p>
    <w:p>
      <w:pPr>
        <w:spacing w:after="0" w:line="179"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2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62" w:lineRule="exact"/>
        <w:rPr>
          <w:sz w:val="20"/>
          <w:szCs w:val="20"/>
          <w:color w:val="auto"/>
        </w:rPr>
      </w:pPr>
    </w:p>
    <w:p>
      <w:pPr>
        <w:ind w:right="100" w:firstLine="518"/>
        <w:spacing w:after="0" w:line="287" w:lineRule="auto"/>
        <w:rPr>
          <w:sz w:val="20"/>
          <w:szCs w:val="20"/>
          <w:color w:val="auto"/>
        </w:rPr>
      </w:pPr>
      <w:r>
        <w:rPr>
          <w:rFonts w:ascii="Arial" w:cs="Arial" w:eastAsia="Arial" w:hAnsi="Arial"/>
          <w:sz w:val="16"/>
          <w:szCs w:val="16"/>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 or potential reseller to favor their products and services or prevent or reduce sales of our products and services. Recruiting and retaining qualified resellers in our network and training them in our technology and product offerings requires significant time and resources.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fail to develop relationships with new resellers in new markets or expand the number of resellers in existing markets or fail to manage, train, or provide appropriate incentives to our existing resellers, our ability to increase the number of new customers and hosts and increase sales to existing customers could be adversely impacted, which would harm our business.</w:t>
      </w: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results of operations, which are reported in U.S. dollars, could be adversely affected if currency exchange rates fluctuate substantially in the future.</w:t>
      </w:r>
    </w:p>
    <w:p>
      <w:pPr>
        <w:spacing w:after="0" w:line="152"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We sell to customers globally and have international operations primarily in Australia, China and the United Kingdom. As we continue to expand our international operations, we will become more exposed to the effects of fluctuations in currency exchange rates. Although the majority of our cash generated from revenue is denominated in U.S. dollars, a small amount is denominated in foreign currencies, and our expenses are generally denominated in the currencies of the jurisdictions in which we conduct our operations. For the three months ended April 30, 2019 and 2018, 8.3% and 4.9% of our revenue, respectively, and 16.0% and 12.4%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to government entities are subject to a number of additional challenges and risks.</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expect to increase our sales to U.S. federal and state and foreign governmental agency customers. For example, we announced in May 2019 that we received authorization under the U.S. Federal Risk and Authorization Management Program (FedRAMP) which allows U.S. federal government agencies and contractors to securely use our Zoom for Government offering. The additional risks and challenges associated with doing business with governmental entities include, but are not limited to, the following:</w:t>
      </w:r>
    </w:p>
    <w:p>
      <w:pPr>
        <w:spacing w:after="0" w:line="79" w:lineRule="exact"/>
        <w:rPr>
          <w:sz w:val="20"/>
          <w:szCs w:val="20"/>
          <w:color w:val="auto"/>
        </w:rPr>
      </w:pPr>
    </w:p>
    <w:p>
      <w:pPr>
        <w:ind w:left="1040" w:right="6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selling to governmental entities can be more competitive, expensive and time-consuming than selling to private entities, often requiring significant upfront time and expense without any assurance that these efforts will generate a sale;</w:t>
      </w:r>
    </w:p>
    <w:p>
      <w:pPr>
        <w:spacing w:after="0" w:line="62" w:lineRule="exact"/>
        <w:rPr>
          <w:rFonts w:ascii="Arial" w:cs="Arial" w:eastAsia="Arial" w:hAnsi="Arial"/>
          <w:sz w:val="18"/>
          <w:szCs w:val="18"/>
          <w:color w:val="auto"/>
        </w:rPr>
      </w:pPr>
    </w:p>
    <w:p>
      <w:pPr>
        <w:ind w:left="1040" w:right="20" w:hanging="519"/>
        <w:spacing w:after="0" w:line="308"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government certification requirements may change, or we may be unable to achieve or sustain one or more government certifications, including FedRAMP, and in doing so restrict our ability to sell into the government sector until we have attained such certificates;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3" w:name="page44"/>
    <w:bookmarkEnd w:id="43"/>
    <w:p>
      <w:pPr>
        <w:ind w:left="1040" w:right="240" w:hanging="519"/>
        <w:spacing w:after="0" w:line="308"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governmental entities may have significant leverage in negotiations, thereby enabling such entities to demand contract terms that differ from what we generally agree to in our standard agreements, including, for example, most favored nation clauses; and</w:t>
      </w:r>
    </w:p>
    <w:p>
      <w:pPr>
        <w:spacing w:after="0" w:line="38" w:lineRule="exact"/>
        <w:rPr>
          <w:rFonts w:ascii="Arial" w:cs="Arial" w:eastAsia="Arial" w:hAnsi="Arial"/>
          <w:sz w:val="17"/>
          <w:szCs w:val="17"/>
          <w:color w:val="auto"/>
        </w:rPr>
      </w:pPr>
    </w:p>
    <w:p>
      <w:pPr>
        <w:ind w:left="1040" w:right="50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government demand and payment for our products may be influenced by public sector budgetary cycles and funding authorizations, with funding reductions or delays having an adverse impact on public sector demand for our products.</w:t>
      </w:r>
    </w:p>
    <w:p>
      <w:pPr>
        <w:spacing w:after="0" w:line="170"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To the extent that we become more reliant on contracts with government entities in the future, our exposure to such risks and challenges could increase, which in turn could adversely impact our business.</w:t>
      </w:r>
    </w:p>
    <w:p>
      <w:pPr>
        <w:spacing w:after="0" w:line="27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Our current products, as well as products, features and functionality that we may introduce in the future, may not be widely accepted by our customers and hosts or may receive negative attention or may require us to compensate or reimburse third parties, any of which may lower our margins and harm our business.</w:t>
      </w:r>
    </w:p>
    <w:p>
      <w:pPr>
        <w:spacing w:after="0" w:line="73"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Our ability to engage, retain and increase our base of customers and hosts and to increase our revenue will depend on our ability to successfully create new products, features and functionality, both independently and together with third parties. We may introduce significant changes to our existing products or develop and introduce new and unproven products, including technologies with which we have little or no prior development or operating experience. These new products and updates may fail to engage, retain and increase our base of customers and hosts or may create lag in adoption of such new products. New products may initially suffer from performance and quality issues that may negatively impact our ability to market and sell such products to new and existing customers and hosts. The short- and long-term impact of any major change to our products, or the introduction of new products, is particularly difficult to predict. If new or enhanced products fail to engage, retain and increase our base of customers and hosts, we may fail to generate sufficient revenue, operating margin or other value to justify our investments in such products, any of which may harm our business in the short term, long term, or both. In addition, our current products, as well as products, features and functionality that we may introduce in the future, may require us to compensate or reimburse third parties. For example, our new cloud phone system, Zoom Phone, is a private branch exchange phone solution that requires us to compensate carriers that operate the public switched telephone network. As a result, a 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2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Estimates of our market opportunity and forecasts of market growth may prove to be inaccurate, and even if the market in which we compete achieves the forecasted growth, our business could fail to grow at similar rates, if at all.</w:t>
      </w:r>
    </w:p>
    <w:p>
      <w:pPr>
        <w:spacing w:after="0" w:line="62" w:lineRule="exact"/>
        <w:rPr>
          <w:sz w:val="20"/>
          <w:szCs w:val="20"/>
          <w:color w:val="auto"/>
        </w:rPr>
      </w:pPr>
    </w:p>
    <w:p>
      <w:pPr>
        <w:ind w:right="160" w:firstLine="518"/>
        <w:spacing w:after="0" w:line="270" w:lineRule="auto"/>
        <w:rPr>
          <w:sz w:val="20"/>
          <w:szCs w:val="20"/>
          <w:color w:val="auto"/>
        </w:rPr>
      </w:pPr>
      <w:r>
        <w:rPr>
          <w:rFonts w:ascii="Arial" w:cs="Arial" w:eastAsia="Arial" w:hAnsi="Arial"/>
          <w:sz w:val="17"/>
          <w:szCs w:val="17"/>
          <w:color w:val="auto"/>
        </w:rPr>
        <w:t>Market opportunity estimates and growth forecasts for the market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platforms at all, and some or many of those organizations may choose to continue using legacy communication methods or point solutions offered by our competitors. It is impossible to build every product feature that every customer or host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 in which we compete meets the size estimates and growth forecasts, our business could fail to grow for a variety of reasons outside of our control, including competition in our industry. If any of these risks materialize, it could harm our business and prospects.</w:t>
      </w:r>
    </w:p>
    <w:p>
      <w:pPr>
        <w:spacing w:after="0" w:line="2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73"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may be subject to, or assist law enforcement with enforcement of, various laws, including those covering copyright, indecent content, child protection, consumer protection, telecommunications services, taxation and similar matters. There have been instances where improper or illegal content has been shared on our platform without our knowledge. As a service provider, we do not regularly monitor our platform to evaluate the legality of content shared on it. While to date we have not been subject to material legal or administrative actions as a result of this content,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4" w:name="page45"/>
    <w:bookmarkEnd w:id="44"/>
    <w:p>
      <w:pPr>
        <w:ind w:right="200" w:firstLine="518"/>
        <w:spacing w:after="0" w:line="273" w:lineRule="auto"/>
        <w:rPr>
          <w:sz w:val="20"/>
          <w:szCs w:val="20"/>
          <w:color w:val="auto"/>
        </w:rPr>
      </w:pPr>
      <w:r>
        <w:rPr>
          <w:rFonts w:ascii="Arial" w:cs="Arial" w:eastAsia="Arial" w:hAnsi="Arial"/>
          <w:sz w:val="17"/>
          <w:szCs w:val="17"/>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and hosts.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178"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Our platform depends on the ability of our customers, hosts and users to access the internet, and our platform has been blocked or restricted in some countries for various reasons. If we fail to anticipate developments in the law, or fail for any reason to comply with relevant law, our platform could be further blocked or restricted, and we could be exposed to significant liability that could harm our business.</w:t>
      </w:r>
    </w:p>
    <w:p>
      <w:pPr>
        <w:spacing w:after="0" w:line="18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are also subject to various U.S. and international anti-corruption laws, such as the U.S. Foreign Corrupt Practices Act and the U.K. Bribery Act,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business.</w:t>
      </w:r>
    </w:p>
    <w:p>
      <w:pPr>
        <w:spacing w:after="0" w:line="296"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i w:val="1"/>
          <w:iCs w:val="1"/>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Regulation</w:t>
      </w:r>
    </w:p>
    <w:p>
      <w:pPr>
        <w:spacing w:after="0" w:line="117"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Our recently introduced product, 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Regulation</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we may have to restructure our product offerings, exit certain markets or raise the price of our products, any of which could harm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Regulation</w:t>
      </w:r>
    </w:p>
    <w:p>
      <w:pPr>
        <w:spacing w:after="0" w:line="117"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As we expand internationally, we may be subject to telecommunications, consumer protection, privacy, data protection and other laws and regulations in the foreign countries where we offer our products. In the future, we intend to offer Zoom Phone internationally.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ind w:right="360"/>
        <w:spacing w:after="0" w:line="277" w:lineRule="auto"/>
        <w:rPr>
          <w:sz w:val="20"/>
          <w:szCs w:val="20"/>
          <w:color w:val="auto"/>
        </w:rPr>
      </w:pPr>
      <w:r>
        <w:rPr>
          <w:rFonts w:ascii="Arial" w:cs="Arial" w:eastAsia="Arial" w:hAnsi="Arial"/>
          <w:sz w:val="18"/>
          <w:szCs w:val="18"/>
          <w:b w:val="1"/>
          <w:bCs w:val="1"/>
          <w:i w:val="1"/>
          <w:iCs w:val="1"/>
          <w:color w:val="auto"/>
        </w:rPr>
        <w:t>We are currently, and may be in the future, party to intellectual property rights claims and other litigation matters, which, if resolved adversely, could harm our business.</w:t>
      </w:r>
    </w:p>
    <w:p>
      <w:pPr>
        <w:spacing w:after="0" w:line="62"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While we intend to defend these lawsuits vigorously and believe that we have valid defenses to these claims, litigation can be costly and time-consuming, divert the attention of our management 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protect our intellectual property rights and proprietary information could diminish our brand and other intangible assets.</w:t>
      </w:r>
    </w:p>
    <w:p>
      <w:pPr>
        <w:spacing w:after="0" w:line="129" w:lineRule="exact"/>
        <w:rPr>
          <w:sz w:val="20"/>
          <w:szCs w:val="20"/>
          <w:color w:val="auto"/>
        </w:rPr>
      </w:pPr>
    </w:p>
    <w:p>
      <w:pPr>
        <w:ind w:right="20" w:firstLine="518"/>
        <w:spacing w:after="0" w:line="285" w:lineRule="auto"/>
        <w:rPr>
          <w:sz w:val="20"/>
          <w:szCs w:val="20"/>
          <w:color w:val="auto"/>
        </w:rPr>
      </w:pPr>
      <w:r>
        <w:rPr>
          <w:rFonts w:ascii="Arial" w:cs="Arial" w:eastAsia="Arial" w:hAnsi="Arial"/>
          <w:sz w:val="16"/>
          <w:szCs w:val="16"/>
          <w:color w:val="auto"/>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6" w:name="page47"/>
    <w:bookmarkEnd w:id="46"/>
    <w:p>
      <w:pPr>
        <w:ind w:right="220"/>
        <w:spacing w:after="0" w:line="342" w:lineRule="auto"/>
        <w:rPr>
          <w:sz w:val="20"/>
          <w:szCs w:val="20"/>
          <w:color w:val="auto"/>
        </w:rPr>
      </w:pPr>
      <w:r>
        <w:rPr>
          <w:rFonts w:ascii="Arial" w:cs="Arial" w:eastAsia="Arial" w:hAnsi="Arial"/>
          <w:sz w:val="16"/>
          <w:szCs w:val="16"/>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host base to decline significantly.</w:t>
      </w:r>
    </w:p>
    <w:p>
      <w:pPr>
        <w:spacing w:after="0" w:line="16"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may be significantly impacted by a change in the economy, including any resulting effect on consumer or business spending.</w:t>
      </w:r>
    </w:p>
    <w:p>
      <w:pPr>
        <w:spacing w:after="0" w:line="129"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Our business may be affected by changes in the economy generally, including any resulting effect on spending by our customers. While some of our customers may consider our platform to be a cost-saving purchase, decreasing the need for business travel, others may view a subscription to our platform as a discretionary purchase, and our customers may reduce their discretionary spending on our platform during an economic downturn. If an economic downturn were to occur, we may experience such a reduction in demand and loss of customers, especially in the event of a prolonged recessionary period.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disrupted by catastrophic events.</w:t>
      </w:r>
    </w:p>
    <w:p>
      <w:pPr>
        <w:spacing w:after="0" w:line="117"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exposure to greater than anticipated tax liabilities, which could harm our business.</w:t>
      </w:r>
    </w:p>
    <w:p>
      <w:pPr>
        <w:spacing w:after="0" w:line="11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While to date we have not incurred significant income taxes in operating our business, 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compensation expense, changes in the valuation of, or our ability to use, deferred tax assets and liabilities, the applicability of withholding taxes and effects from acquisitions.</w:t>
      </w:r>
    </w:p>
    <w:p>
      <w:pPr>
        <w:spacing w:after="0" w:line="18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provision for taxes on our financial statements could also be impacted by changes in accounting principles, changes in U.S. federal, state or international tax laws applicable to corporate multinationals such as the recent legislation enacted in Australia, the United Kingdom and the United States, other fundamental changes in law currently being considered by many countries and changes in taxing jurisdictions’ administrative interpretations, decisions, policies and positions.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ind w:right="200" w:firstLine="518"/>
        <w:spacing w:after="0" w:line="255" w:lineRule="auto"/>
        <w:rPr>
          <w:sz w:val="20"/>
          <w:szCs w:val="20"/>
          <w:color w:val="auto"/>
        </w:rPr>
      </w:pPr>
      <w:r>
        <w:rPr>
          <w:rFonts w:ascii="Arial" w:cs="Arial" w:eastAsia="Arial" w:hAnsi="Arial"/>
          <w:sz w:val="18"/>
          <w:szCs w:val="18"/>
          <w:color w:val="auto"/>
        </w:rPr>
        <w:t>We are subject to review and audit by U.S. federal, state, local and foreign tax authorities. Such tax authorities may disagree with tax positions we take, and if any such tax authority were to successfully challenge any such position, our business could be harmed. We may also be subject to additional tax liabilities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As of January 31, 2019, we had $26.9 million of U.S. federal and $10.7 million of state net operating loss carryforwards available to reduce future taxable income, which will begin to expire in 2032 for federal and 2027 for state tax purposes. It is possible that we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Internal Revenue Code of 1986, as amended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completed a Section 382 calculation and have determined that none of the operating losses will expire solely due to Section 382 limitation(s). However, we may experience ownership changes as a result of our initial public offering or in the future as a result of subsequent shifts in our stock ownership, some of which may be outside of our control. If an ownership change occurs and our ability to use our net operating loss carryforwards and tax credits is materially limited, it would harm our business by effectively increasing our future tax obligations.</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results of operations may be adversely affected by changes in accounting principles generally accepted in the United States.</w:t>
      </w:r>
    </w:p>
    <w:p>
      <w:pPr>
        <w:spacing w:after="0" w:line="129"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 xml:space="preserve">Generally accepted accounting principles in the United States are subject to interpretation by the Financial Accounting Standards Board (FASB), the Securities and Exchange Commission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For example, we adopted </w:t>
      </w:r>
      <w:r>
        <w:rPr>
          <w:rFonts w:ascii="Arial" w:cs="Arial" w:eastAsia="Arial" w:hAnsi="Arial"/>
          <w:sz w:val="17"/>
          <w:szCs w:val="17"/>
          <w:i w:val="1"/>
          <w:iCs w:val="1"/>
          <w:color w:val="auto"/>
        </w:rPr>
        <w:t>Accounting Standards Update (ASU) No. 2016-02 (Topic 842), Leases</w:t>
      </w:r>
      <w:r>
        <w:rPr>
          <w:rFonts w:ascii="Arial" w:cs="Arial" w:eastAsia="Arial" w:hAnsi="Arial"/>
          <w:sz w:val="17"/>
          <w:szCs w:val="17"/>
          <w:color w:val="auto"/>
        </w:rPr>
        <w:t xml:space="preserve"> (ASU 2016-02), effective as of February 1, 2019. See Note 1 to our condensed consolidated financial statements for more information. It is also difficult to predict the impact of future changes to accounting principles or our accounting policies, any of which could harm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and we cannot be certain that additional financing will be available on favorable terms, or at all.</w:t>
      </w:r>
    </w:p>
    <w:p>
      <w:pPr>
        <w:spacing w:after="0" w:line="117"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28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use of third-party open source software could negatively affect our ability to offer and sell subscriptions to our platform and subject us to possible litigation.</w:t>
      </w:r>
    </w:p>
    <w:p>
      <w:pPr>
        <w:spacing w:after="0" w:line="62" w:lineRule="exact"/>
        <w:rPr>
          <w:sz w:val="20"/>
          <w:szCs w:val="20"/>
          <w:color w:val="auto"/>
        </w:rPr>
      </w:pPr>
    </w:p>
    <w:p>
      <w:pPr>
        <w:ind w:right="260" w:firstLine="518"/>
        <w:spacing w:after="0" w:line="286" w:lineRule="auto"/>
        <w:rPr>
          <w:sz w:val="20"/>
          <w:szCs w:val="20"/>
          <w:color w:val="auto"/>
        </w:rPr>
      </w:pPr>
      <w:r>
        <w:rPr>
          <w:rFonts w:ascii="Arial" w:cs="Arial" w:eastAsia="Arial" w:hAnsi="Arial"/>
          <w:sz w:val="16"/>
          <w:szCs w:val="16"/>
          <w:color w:val="auto"/>
        </w:rPr>
        <w:t>A portion of the technologies we use incorporates third-party open source software, and we may incorporate third-party open source software in the future.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w:t>
      </w:r>
    </w:p>
    <w:p>
      <w:pPr>
        <w:spacing w:after="0" w:line="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8" w:name="page49"/>
    <w:bookmarkEnd w:id="48"/>
    <w:p>
      <w:pPr>
        <w:spacing w:after="0" w:line="270" w:lineRule="auto"/>
        <w:rPr>
          <w:sz w:val="20"/>
          <w:szCs w:val="20"/>
          <w:color w:val="auto"/>
        </w:rPr>
      </w:pPr>
      <w:r>
        <w:rPr>
          <w:rFonts w:ascii="Arial" w:cs="Arial" w:eastAsia="Arial" w:hAnsi="Arial"/>
          <w:sz w:val="17"/>
          <w:szCs w:val="17"/>
          <w:color w:val="auto"/>
        </w:rPr>
        <w:t>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may be required to publicly release certain portions of our proprietary source code. We could also be required to expend substantial time and resources to re-engineer some of our software. Any of the foregoing could disrupt and harm our business.</w:t>
      </w:r>
    </w:p>
    <w:p>
      <w:pPr>
        <w:spacing w:after="0" w:line="178"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29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2"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are subject to the reporting requirements of the Securities Exchange Act of 1934, as amended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87"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78"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179"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will be required to provide an annual management report on the effectiveness of our internal control over financial reporting commencing with our second annual report on Form 10-K.</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9" w:name="page50"/>
    <w:bookmarkEnd w:id="49"/>
    <w:p>
      <w:pPr>
        <w:ind w:right="40" w:firstLine="518"/>
        <w:spacing w:after="0" w:line="257"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our first annual report filed with the SEC where we are an accelerated filer or a large accelerated filer.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29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acquire other businesses or receive offers to be acquired, which could require significant management attention, disrupt our business or dilute stockholder value.</w:t>
      </w:r>
    </w:p>
    <w:p>
      <w:pPr>
        <w:spacing w:after="0" w:line="6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may in the future make acquisitions of other companies, products and technologies.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182"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Class A common stock may be volatile, and you could lose all or part of your investment.</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Prior to our initial public offering, there was no public market for shares of our Class A common stock. The trading price of our Class A common stock is likely to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following:</w:t>
      </w:r>
    </w:p>
    <w:p>
      <w:pPr>
        <w:spacing w:after="0" w:line="79"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0" w:name="page51"/>
    <w:bookmarkEnd w:id="50"/>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significant change in our management;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addition, in the past, following periods of volatility in the overall market and in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dual class structure of our common stock as contained in our amended and restated certificate of incorporation has the effect of concentrating voting control with those stockholders who held our stock prior to our initial public offering, including our executive officers, employees and directors and their affiliates, limiting your ability to influence corporate matters.</w:t>
      </w:r>
    </w:p>
    <w:p>
      <w:pPr>
        <w:spacing w:after="0" w:line="73" w:lineRule="exact"/>
        <w:rPr>
          <w:sz w:val="20"/>
          <w:szCs w:val="20"/>
          <w:color w:val="auto"/>
        </w:rPr>
      </w:pPr>
    </w:p>
    <w:p>
      <w:pPr>
        <w:ind w:firstLine="518"/>
        <w:spacing w:after="0" w:line="284" w:lineRule="auto"/>
        <w:rPr>
          <w:sz w:val="20"/>
          <w:szCs w:val="20"/>
          <w:color w:val="auto"/>
        </w:rPr>
      </w:pPr>
      <w:r>
        <w:rPr>
          <w:rFonts w:ascii="Arial" w:cs="Arial" w:eastAsia="Arial" w:hAnsi="Arial"/>
          <w:sz w:val="16"/>
          <w:szCs w:val="16"/>
          <w:color w:val="auto"/>
        </w:rPr>
        <w:t>Our Class B common stock has 10 votes per share and our Class A common stock has one vote per share. As of April 30, 2019, the holders of our outstanding Class B common stock held 98.7% of the voting power of our outstanding capital stock, with our directors, executive officers and 5% stockholders and their respective affiliates holding 59.0% of such voting power in the aggregate. As of April 30, 2019, our founder, President and Chief Executive Officer, Eric S. Yuan, together with his affiliates, held approximately 17.0% of our outstanding capital stock but controlled approximately 19.0%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w:t>
      </w:r>
    </w:p>
    <w:p>
      <w:pPr>
        <w:spacing w:after="0" w:line="3" w:lineRule="exact"/>
        <w:rPr>
          <w:sz w:val="20"/>
          <w:szCs w:val="20"/>
          <w:color w:val="auto"/>
        </w:rPr>
      </w:pPr>
    </w:p>
    <w:p>
      <w:pPr>
        <w:jc w:val="both"/>
        <w:ind w:right="480" w:firstLine="8"/>
        <w:spacing w:after="0" w:line="302" w:lineRule="auto"/>
        <w:tabs>
          <w:tab w:leader="none" w:pos="21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initial public offering.</w:t>
      </w:r>
    </w:p>
    <w:p>
      <w:pPr>
        <w:spacing w:after="0" w:line="155"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147"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165"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dual class capital structure would make us ineligible for inclusion in any of these indices, and as a result, mutual funds, exchange-traded funds and other investment vehicles that attempt to passively track these indices will not be investing in our stock. These policies are new, and it is as of yet unclear what effect, if any, they will have on the valuations of publicly traded companies excluded from the indices, but it is possible that they may depress these valuations or depress our trading volume compared to those of other similar companies that are included.</w:t>
      </w:r>
    </w:p>
    <w:p>
      <w:pPr>
        <w:spacing w:after="0" w:line="2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62"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1" w:name="page52"/>
    <w:bookmarkEnd w:id="51"/>
    <w:p>
      <w:pPr>
        <w:ind w:right="60"/>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of our Class A common stock and Class B common stock could cause the market price of our Class A common stock to decline.</w:t>
      </w:r>
    </w:p>
    <w:p>
      <w:pPr>
        <w:spacing w:after="0" w:line="62"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 and could impair our ability to raise capital through the sale of additional equity securities. All of the shares of common stock sold in our initial public offering are freely tradable without restrictions or further registration under the Securities Act of 1933, as amended, or the Securities Act, except for any shares held by our “affiliates” as defined in Rule 144 under the Securities Act. Substantially all of our outstanding shares of Class A common stock and Class B common stock prior to our initial public offering are currently restricted from resale as a result of market standoff agreements with us and “lock-up” agreements that have been entered into with Morgan Stanley &amp; Co. LLC, J.P. Morgan Securities LLC and Goldman Sachs &amp; Co. LLC in connection with our initial public offering. These shares will become available to be sold 181 days after the date of the final prospectus used in connection with our initial public offering. Morgan Stanley &amp; Co. LLC, J.P. Morgan Securities LLC and Goldman Sachs &amp; Co. LLC may, in their discretion, permit our stockholders to sell shares prior to the expiration of the restrictive provisions contained in those lock-up agreements. Shares held by directors, executive officers, and other affiliates will be subject to volume limitations under Rule 144 under the Securities Act of 1933, as amended, or the Securities Act, and various vesting agreements.</w:t>
      </w:r>
    </w:p>
    <w:p>
      <w:pPr>
        <w:spacing w:after="0" w:line="281" w:lineRule="exact"/>
        <w:rPr>
          <w:sz w:val="20"/>
          <w:szCs w:val="20"/>
          <w:color w:val="auto"/>
        </w:rPr>
      </w:pPr>
    </w:p>
    <w:p>
      <w:pPr>
        <w:ind w:right="640"/>
        <w:spacing w:after="0" w:line="375"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1"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There are provisions in our certificate of incorporation and bylaws that may make it difficult for a third party to acquire, or attempt to acquire, control of Zoom, even if a change in control was considered favorable by our stockholders.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charter documents also contain other provisions that could have an anti-takeover effect, such as:</w:t>
      </w:r>
    </w:p>
    <w:p>
      <w:pPr>
        <w:spacing w:after="0" w:line="117"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establishing a classified board of directors so that not all members of our board of directors are elected at one time;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permitting the board of directors to establish the number of directors and fill any vacancies and newly created directorships;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providing that directors may only be removed for cause;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prohibiting cumulative voting for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requiring super-majority voting to amend some provisions in our certificate of incorporation and bylaws;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authorizing the issuance of “blank check” preferred stock that our board of directors could use to implement a stockholder rights plan;</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eliminating the ability of stockholders to call special meetings of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which requires all stockholder actions to be taken at a meeting of our stockholders;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dual class common stock structure as described above.</w:t>
      </w:r>
    </w:p>
    <w:p>
      <w:pPr>
        <w:spacing w:after="0" w:line="22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52" w:name="page53"/>
    <w:bookmarkEnd w:id="52"/>
    <w:p>
      <w:pPr>
        <w:ind w:right="20"/>
        <w:spacing w:after="0" w:line="312" w:lineRule="auto"/>
        <w:rPr>
          <w:sz w:val="20"/>
          <w:szCs w:val="20"/>
          <w:color w:val="auto"/>
        </w:rPr>
      </w:pPr>
      <w:r>
        <w:rPr>
          <w:rFonts w:ascii="Arial" w:cs="Arial" w:eastAsia="Arial" w:hAnsi="Arial"/>
          <w:sz w:val="16"/>
          <w:szCs w:val="16"/>
          <w:b w:val="1"/>
          <w:bCs w:val="1"/>
          <w:i w:val="1"/>
          <w:iCs w:val="1"/>
          <w:color w:val="auto"/>
        </w:rPr>
        <w:t>Our amended and restated certificate of incorporation designates the Court of Chancery of the State of Delaware and, to the extent enforceable,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39" w:lineRule="exact"/>
        <w:rPr>
          <w:sz w:val="20"/>
          <w:szCs w:val="20"/>
          <w:color w:val="auto"/>
        </w:rPr>
      </w:pPr>
    </w:p>
    <w:p>
      <w:pPr>
        <w:ind w:right="100" w:firstLine="518"/>
        <w:spacing w:after="0" w:line="289"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In addition, our amended and restated certificate of incorporation will provide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6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harm our results of operations. For example, the Court of Chancery of the State of Delaware recently determined that the exclusive forum provision of federal district courts of the United States of America for resolving any complaint asserting a cause of action arising under the Securities Act is not enforceable. However, this decision may be reviewed and ultimately overturned by the Delaware Supreme Court. If this ultimate adjudication were to occur, we would enforce the federal district court exclusive forum provision in our amended and restated certificate of incorporation.</w:t>
      </w:r>
    </w:p>
    <w:p>
      <w:pPr>
        <w:spacing w:after="0" w:line="2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62"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2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incur costs and demands upon management as a result of complying with the laws and regulations affecting public companies in the United States, which may harm our business.</w:t>
      </w:r>
    </w:p>
    <w:p>
      <w:pPr>
        <w:spacing w:after="0" w:line="62"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16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53" w:name="page54"/>
    <w:bookmarkEnd w:id="53"/>
    <w:p>
      <w:pPr>
        <w:spacing w:after="0"/>
        <w:rPr>
          <w:sz w:val="20"/>
          <w:szCs w:val="20"/>
          <w:color w:val="auto"/>
        </w:rPr>
      </w:pPr>
      <w:r>
        <w:rPr>
          <w:rFonts w:ascii="Arial" w:cs="Arial" w:eastAsia="Arial" w:hAnsi="Arial"/>
          <w:sz w:val="15"/>
          <w:szCs w:val="15"/>
          <w:b w:val="1"/>
          <w:bCs w:val="1"/>
          <w:i w:val="1"/>
          <w:iCs w:val="1"/>
          <w:color w:val="auto"/>
        </w:rPr>
        <w:t>We are an “emerging growth company,” and we intend to comply only with reduced disclosure requirements applicable to emerging growth companies.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result, our Class A common stock could be less attractive to investors.</w:t>
      </w:r>
    </w:p>
    <w:p>
      <w:pPr>
        <w:spacing w:after="0" w:line="103" w:lineRule="exact"/>
        <w:rPr>
          <w:sz w:val="20"/>
          <w:szCs w:val="20"/>
          <w:color w:val="auto"/>
        </w:rPr>
      </w:pPr>
    </w:p>
    <w:p>
      <w:pPr>
        <w:ind w:right="140" w:firstLine="518"/>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and for as long as we continue to be an emerging growth company, we may choose to take advantage of exemptions from various reporting requirements applicable to other public companies but not to emerging growth companies, including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will remain an emerging growth company until the earlier of (i) the last day of the fiscal year (a) following the fifth anniversary of the completion of our initial public offering, (b) in which we have total annual gross revenue of over $1.07 billion or (c) in which we are deemed to be a large accelerated filer, which means the market value of our common stock held by non-affiliates exceeds $700 million as of the prior July 31 and (ii) the date on which we have issued more than $1.0 billion in non-convertible debt during the prior three-year period. We cannot predict if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our stock price may be more volatile.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17"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gains on their investment.</w:t>
      </w:r>
    </w:p>
    <w:p>
      <w:pPr>
        <w:spacing w:after="0" w:line="2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From February 1, 2019 through April 23, 2019 (the date of the filing of our registration statement on Form S-8, File No. 333-230997), we granted to our directors, officers, employees, consultants, and other service providers options to purchase an aggregate of 1,147,500 shares of our Class B common stock and 177,150 shares of our Class A common stock under our equity compensation plans at exercise prices ranging from approximately $16.72 to $36.00 per share.</w:t>
      </w:r>
    </w:p>
    <w:p>
      <w:pPr>
        <w:spacing w:after="0" w:line="18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From February 1, 2019 through April 23, 2019 (the date of the filing of our registration statement on Form S-8, File No. 333-230997), we issued and sold to our directors, officers, employees, consultants, and other service providers an aggregate of 13,549,333 shares of our Class B common stock upon the exercise of options issued under our equity compensation plans at exercise prices ranging from approximately $0.02 to $16.72 per share, for an aggregate exercise price of $1,794,505.</w:t>
      </w:r>
    </w:p>
    <w:p>
      <w:pPr>
        <w:spacing w:after="0" w:line="187"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On April 23, 2019, we sold 2,777,777 shares of our Class A common stock to Salesforce Ventures LLC in a concurrent private placement with our initial public offering.</w:t>
      </w:r>
    </w:p>
    <w:p>
      <w:pPr>
        <w:spacing w:after="0" w:line="170"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On April 23, 2019, we issued (1) 140,950 shares of our Class A common stock to Dropbox, Inc. and (2) 285,273 shares of our Class A common stock to Atlassian, Inc., each in connection with the conversion of outstanding convertible promissory notes.</w:t>
      </w:r>
    </w:p>
    <w:p>
      <w:pPr>
        <w:spacing w:after="0" w:line="170"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The Registrant believes the offers, sales, and issuances of the above securities, including the transaction described under the title “Common Stock Issuances,” were exempt from registration under the Securities Act by virtue of Section 4(a)(2) of the Securities Act, because the issuance of securities to the recipients did not involve a public offering, or were offered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the Registrant or otherwise, to information about the Registrant. The sales of these securities were made without any general solicitation or advertising.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The Registration Statement on Form S-1 (File No. 333-230444) (the “Form S-1”) for the IPO was declared effective by the SEC on April 17, 2019. The Registration Statement on Form S-1 registered an aggregate of 24,000,000 shares of our Class A common stock (10,958,131 of which were held by selling stockholders), including 3,130,435 shares registered to cover the right to purchase additional shares granted by us to the underwriters. On April 23, 2019, we closed the IPO, in which we sold 13,041,869 shares of our Class A common stock, including 3,130,435 shares sold pursuant to the underwriters’ full exercise of their right to purchase additional shares, at a public offering price of $36.00 per share for an aggregate offering price of approximately $469.5 million. The selling stockholders sold 10,958,131 shares of our Class A common stock at a public offering price of $36.00 per share for an aggregate offering price of approximately $394.5 million. Upon completion of the sale of the shares of our Class A common stock referenced in the preceding sentences, the IPO terminated.</w:t>
      </w:r>
    </w:p>
    <w:p>
      <w:pPr>
        <w:spacing w:after="0" w:line="192"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Immediately subsequent to the closing of our initial public offering, Salesforce Ventures LLC purchased 2,777,777 shares of our Class A common stock from us at $36.00 per share in a concurrent private placement.</w:t>
      </w:r>
    </w:p>
    <w:p>
      <w:pPr>
        <w:spacing w:after="0" w:line="170"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Morgan Stanley &amp; Co. LLC, J.P. Morgan Securities LLC, Goldman Sachs &amp; Co. LLC, and Credit Suisse acted as lead book-running managers for the offering. BofA Merrill Lynch, RBC Capital Markets, and Wells Fargo Securities acted as book-running managers, and JMP Securities, KeyBanc Capital Markets, Piper Jaffray, Stifel, and William Blair were co-managers for the offering. We incurred underwriting discounts and commissions totaling approximately $21.6 million. In addition, we incurred offering expenses of approximately $6.4 million which, when added to the underwriting discounts and commissions, amount to total expenses of approximately $28.0 million. Thus, our net offering proceeds, inclusive of the concurrent private placement, after deducting underwriting discounts and commissions and other offering costs, were approximately $541.5 million. We did not receive any proceeds from the sale of shares by the selling stockholders in the IPO. No payments were made to our directors or officers or their associates, holders of 10% or more of any class of our equity securities or any affiliates.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has been no material change in the planned use of proceeds from the IPO as described in our Prospectus.</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contains information relating to the repurchases of our Class B common stock made by us in the three months ended April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Average Price</w:t>
            </w:r>
          </w:p>
        </w:tc>
        <w:tc>
          <w:tcPr>
            <w:tcW w:w="0" w:type="dxa"/>
            <w:vAlign w:val="bottom"/>
          </w:tcPr>
          <w:p>
            <w:pPr>
              <w:spacing w:after="0"/>
              <w:rPr>
                <w:sz w:val="1"/>
                <w:szCs w:val="1"/>
                <w:color w:val="auto"/>
              </w:rPr>
            </w:pPr>
          </w:p>
        </w:tc>
      </w:tr>
      <w:tr>
        <w:trPr>
          <w:trHeight w:val="149"/>
        </w:trPr>
        <w:tc>
          <w:tcPr>
            <w:tcW w:w="6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Paid Per</w:t>
            </w:r>
          </w:p>
        </w:tc>
        <w:tc>
          <w:tcPr>
            <w:tcW w:w="0" w:type="dxa"/>
            <w:vAlign w:val="bottom"/>
          </w:tcPr>
          <w:p>
            <w:pPr>
              <w:spacing w:after="0"/>
              <w:rPr>
                <w:sz w:val="1"/>
                <w:szCs w:val="1"/>
                <w:color w:val="auto"/>
              </w:rPr>
            </w:pPr>
          </w:p>
        </w:tc>
      </w:tr>
      <w:tr>
        <w:trPr>
          <w:trHeight w:val="171"/>
        </w:trPr>
        <w:tc>
          <w:tcPr>
            <w:tcW w:w="6280" w:type="dxa"/>
            <w:vAlign w:val="bottom"/>
            <w:gridSpan w:val="3"/>
            <w:vMerge w:val="continue"/>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w:t>
            </w:r>
            <w:r>
              <w:rPr>
                <w:rFonts w:ascii="Arial" w:cs="Arial" w:eastAsia="Arial" w:hAnsi="Arial"/>
                <w:sz w:val="12"/>
                <w:szCs w:val="12"/>
                <w:b w:val="1"/>
                <w:bCs w:val="1"/>
                <w:color w:val="auto"/>
                <w:w w:val="92"/>
              </w:rPr>
              <w:t>(1)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February 1 to February 28, 2019</w:t>
            </w: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March 1 to March 31, 2019</w:t>
            </w:r>
          </w:p>
        </w:tc>
        <w:tc>
          <w:tcPr>
            <w:tcW w:w="1260" w:type="dxa"/>
            <w:vAlign w:val="bottom"/>
          </w:tcPr>
          <w:p>
            <w:pPr>
              <w:jc w:val="right"/>
              <w:spacing w:after="0"/>
              <w:rPr>
                <w:sz w:val="20"/>
                <w:szCs w:val="20"/>
                <w:color w:val="auto"/>
              </w:rPr>
            </w:pPr>
            <w:r>
              <w:rPr>
                <w:rFonts w:ascii="Arial" w:cs="Arial" w:eastAsia="Arial" w:hAnsi="Arial"/>
                <w:sz w:val="18"/>
                <w:szCs w:val="18"/>
                <w:color w:val="auto"/>
              </w:rPr>
              <w:t>525,000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0.1375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April 1 to April 30, 2019</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60" w:type="dxa"/>
            <w:vAlign w:val="bottom"/>
          </w:tcPr>
          <w:p>
            <w:pPr>
              <w:jc w:val="right"/>
              <w:spacing w:after="0"/>
              <w:rPr>
                <w:sz w:val="20"/>
                <w:szCs w:val="20"/>
                <w:color w:val="auto"/>
              </w:rPr>
            </w:pPr>
            <w:r>
              <w:rPr>
                <w:rFonts w:ascii="Arial" w:cs="Arial" w:eastAsia="Arial" w:hAnsi="Arial"/>
                <w:sz w:val="18"/>
                <w:szCs w:val="18"/>
                <w:color w:val="auto"/>
              </w:rPr>
              <w:t>525,000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0.1375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1660" w:right="580" w:hanging="518"/>
        <w:spacing w:after="0" w:line="264" w:lineRule="auto"/>
        <w:tabs>
          <w:tab w:leader="none" w:pos="1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shares of unvested Class B common stock that were repurchased by us from a former employee upon termination of employment in accordance with the terms of the employee’s stock option agreement. We purchased the shares from the former employee at the original exercise price.</w:t>
      </w:r>
    </w:p>
    <w:p>
      <w:pPr>
        <w:spacing w:after="0" w:line="28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040" w:type="dxa"/>
            <w:vAlign w:val="bottom"/>
            <w:gridSpan w:val="21"/>
          </w:tcPr>
          <w:p>
            <w:pPr>
              <w:ind w:left="140"/>
              <w:spacing w:after="0"/>
              <w:rPr>
                <w:sz w:val="20"/>
                <w:szCs w:val="20"/>
                <w:color w:val="auto"/>
              </w:rPr>
            </w:pPr>
            <w:r>
              <w:rPr>
                <w:rFonts w:ascii="Arial" w:cs="Arial" w:eastAsia="Arial" w:hAnsi="Arial"/>
                <w:sz w:val="18"/>
                <w:szCs w:val="18"/>
                <w:b w:val="1"/>
                <w:bCs w:val="1"/>
                <w:color w:val="auto"/>
              </w:rPr>
              <w:t>EXHIBITS</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65"/>
        </w:trPr>
        <w:tc>
          <w:tcPr>
            <w:tcW w:w="9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92"/>
              </w:rPr>
              <w:t>Incorporated by Reference</w:t>
            </w:r>
          </w:p>
        </w:tc>
        <w:tc>
          <w:tcPr>
            <w:tcW w:w="1400" w:type="dxa"/>
            <w:vAlign w:val="bottom"/>
            <w:tcBorders>
              <w:bottom w:val="single" w:sz="8" w:color="auto"/>
            </w:tcBorders>
          </w:tcPr>
          <w:p>
            <w:pPr>
              <w:spacing w:after="0"/>
              <w:rPr>
                <w:sz w:val="24"/>
                <w:szCs w:val="24"/>
                <w:color w:val="auto"/>
              </w:rPr>
            </w:pPr>
          </w:p>
        </w:tc>
      </w:tr>
      <w:tr>
        <w:trPr>
          <w:trHeight w:val="142"/>
        </w:trPr>
        <w:tc>
          <w:tcPr>
            <w:tcW w:w="9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Number</w:t>
            </w:r>
          </w:p>
        </w:tc>
        <w:tc>
          <w:tcPr>
            <w:tcW w:w="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40" w:type="dxa"/>
            <w:vAlign w:val="bottom"/>
            <w:tcBorders>
              <w:bottom w:val="single" w:sz="8" w:color="auto"/>
            </w:tcBorders>
            <w:gridSpan w:val="13"/>
          </w:tcPr>
          <w:p>
            <w:pPr>
              <w:ind w:left="640"/>
              <w:spacing w:after="0" w:line="142" w:lineRule="exact"/>
              <w:rPr>
                <w:sz w:val="20"/>
                <w:szCs w:val="20"/>
                <w:color w:val="auto"/>
              </w:rPr>
            </w:pPr>
            <w:r>
              <w:rPr>
                <w:rFonts w:ascii="Arial" w:cs="Arial" w:eastAsia="Arial" w:hAnsi="Arial"/>
                <w:sz w:val="14"/>
                <w:szCs w:val="14"/>
                <w:b w:val="1"/>
                <w:bCs w:val="1"/>
                <w:color w:val="auto"/>
              </w:rPr>
              <w:t>Exhibit Description</w:t>
            </w:r>
          </w:p>
        </w:tc>
        <w:tc>
          <w:tcPr>
            <w:tcW w:w="80" w:type="dxa"/>
            <w:vAlign w:val="bottom"/>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Form</w:t>
            </w:r>
          </w:p>
        </w:tc>
        <w:tc>
          <w:tcPr>
            <w:tcW w:w="140" w:type="dxa"/>
            <w:vAlign w:val="bottom"/>
          </w:tcPr>
          <w:p>
            <w:pPr>
              <w:spacing w:after="0"/>
              <w:rPr>
                <w:sz w:val="12"/>
                <w:szCs w:val="12"/>
                <w:color w:val="auto"/>
              </w:rPr>
            </w:pPr>
          </w:p>
        </w:tc>
        <w:tc>
          <w:tcPr>
            <w:tcW w:w="1160" w:type="dxa"/>
            <w:vAlign w:val="bottom"/>
            <w:tcBorders>
              <w:bottom w:val="single" w:sz="8" w:color="auto"/>
            </w:tcBorders>
          </w:tcPr>
          <w:p>
            <w:pPr>
              <w:ind w:left="340"/>
              <w:spacing w:after="0" w:line="142" w:lineRule="exact"/>
              <w:rPr>
                <w:sz w:val="20"/>
                <w:szCs w:val="20"/>
                <w:color w:val="auto"/>
              </w:rPr>
            </w:pPr>
            <w:r>
              <w:rPr>
                <w:rFonts w:ascii="Arial" w:cs="Arial" w:eastAsia="Arial" w:hAnsi="Arial"/>
                <w:sz w:val="14"/>
                <w:szCs w:val="14"/>
                <w:b w:val="1"/>
                <w:bCs w:val="1"/>
                <w:color w:val="auto"/>
              </w:rPr>
              <w:t>File No.</w:t>
            </w:r>
          </w:p>
        </w:tc>
        <w:tc>
          <w:tcPr>
            <w:tcW w:w="140" w:type="dxa"/>
            <w:vAlign w:val="bottom"/>
          </w:tcPr>
          <w:p>
            <w:pPr>
              <w:spacing w:after="0"/>
              <w:rPr>
                <w:sz w:val="12"/>
                <w:szCs w:val="12"/>
                <w:color w:val="auto"/>
              </w:rPr>
            </w:pPr>
          </w:p>
        </w:tc>
        <w:tc>
          <w:tcPr>
            <w:tcW w:w="6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2"/>
                <w:szCs w:val="12"/>
                <w:color w:val="auto"/>
              </w:rPr>
            </w:pPr>
          </w:p>
        </w:tc>
        <w:tc>
          <w:tcPr>
            <w:tcW w:w="140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rPr>
              <w:t>Filing Date</w:t>
            </w:r>
          </w:p>
        </w:tc>
      </w:tr>
      <w:tr>
        <w:trPr>
          <w:trHeight w:val="291"/>
        </w:trPr>
        <w:tc>
          <w:tcPr>
            <w:tcW w:w="900" w:type="dxa"/>
            <w:vAlign w:val="bottom"/>
          </w:tcPr>
          <w:p>
            <w:pPr>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40" w:type="dxa"/>
            <w:vAlign w:val="bottom"/>
            <w:tcBorders>
              <w:bottom w:val="single" w:sz="8" w:color="0000EE"/>
            </w:tcBorders>
            <w:gridSpan w:val="9"/>
          </w:tcPr>
          <w:p>
            <w:pPr>
              <w:spacing w:after="0"/>
              <w:rPr>
                <w:rFonts w:ascii="Arial" w:cs="Arial" w:eastAsia="Arial" w:hAnsi="Arial"/>
                <w:sz w:val="18"/>
                <w:szCs w:val="18"/>
                <w:color w:val="0000EE"/>
                <w:w w:val="91"/>
              </w:rPr>
            </w:pPr>
            <w:hyperlink r:id="rId78">
              <w:r>
                <w:rPr>
                  <w:rFonts w:ascii="Arial" w:cs="Arial" w:eastAsia="Arial" w:hAnsi="Arial"/>
                  <w:sz w:val="18"/>
                  <w:szCs w:val="18"/>
                  <w:color w:val="0000EE"/>
                  <w:w w:val="91"/>
                </w:rPr>
                <w:t>Amended and Restated Certificate of Incorporation of Zoom Video</w:t>
              </w:r>
            </w:hyperlink>
          </w:p>
        </w:tc>
        <w:tc>
          <w:tcPr>
            <w:tcW w:w="960" w:type="dxa"/>
            <w:vAlign w:val="bottom"/>
            <w:gridSpan w:val="10"/>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00" w:type="dxa"/>
            <w:vAlign w:val="bottom"/>
            <w:gridSpan w:val="2"/>
          </w:tcPr>
          <w:p>
            <w:pPr>
              <w:ind w:left="140"/>
              <w:spacing w:after="0"/>
              <w:rPr>
                <w:sz w:val="20"/>
                <w:szCs w:val="20"/>
                <w:color w:val="auto"/>
              </w:rPr>
            </w:pPr>
            <w:r>
              <w:rPr>
                <w:rFonts w:ascii="Arial" w:cs="Arial" w:eastAsia="Arial" w:hAnsi="Arial"/>
                <w:sz w:val="18"/>
                <w:szCs w:val="18"/>
                <w:color w:val="auto"/>
              </w:rPr>
              <w:t>001-38865</w:t>
            </w:r>
          </w:p>
        </w:tc>
        <w:tc>
          <w:tcPr>
            <w:tcW w:w="1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April 23, 2019</w:t>
            </w: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78">
              <w:r>
                <w:rPr>
                  <w:rFonts w:ascii="Arial" w:cs="Arial" w:eastAsia="Arial" w:hAnsi="Arial"/>
                  <w:sz w:val="18"/>
                  <w:szCs w:val="18"/>
                  <w:color w:val="0000EE"/>
                  <w:w w:val="91"/>
                </w:rPr>
                <w:t>Communications, Inc.</w:t>
              </w:r>
            </w:hyperlink>
          </w:p>
        </w:tc>
        <w:tc>
          <w:tcPr>
            <w:tcW w:w="4200" w:type="dxa"/>
            <w:vAlign w:val="bottom"/>
            <w:gridSpan w:val="15"/>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19"/>
          </w:tcPr>
          <w:p>
            <w:pPr>
              <w:spacing w:after="0"/>
              <w:rPr>
                <w:rFonts w:ascii="Arial" w:cs="Arial" w:eastAsia="Arial" w:hAnsi="Arial"/>
                <w:sz w:val="18"/>
                <w:szCs w:val="18"/>
                <w:color w:val="0000EE"/>
              </w:rPr>
            </w:pPr>
            <w:hyperlink r:id="rId79">
              <w:r>
                <w:rPr>
                  <w:rFonts w:ascii="Arial" w:cs="Arial" w:eastAsia="Arial" w:hAnsi="Arial"/>
                  <w:sz w:val="18"/>
                  <w:szCs w:val="18"/>
                  <w:color w:val="0000EE"/>
                </w:rPr>
                <w:t>Amended and Restated Bylaws of Zoom Video Communications, Inc.</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300" w:type="dxa"/>
            <w:vAlign w:val="bottom"/>
            <w:gridSpan w:val="2"/>
          </w:tcPr>
          <w:p>
            <w:pPr>
              <w:ind w:left="140"/>
              <w:spacing w:after="0"/>
              <w:rPr>
                <w:sz w:val="20"/>
                <w:szCs w:val="20"/>
                <w:color w:val="auto"/>
              </w:rPr>
            </w:pPr>
            <w:r>
              <w:rPr>
                <w:rFonts w:ascii="Arial" w:cs="Arial" w:eastAsia="Arial" w:hAnsi="Arial"/>
                <w:sz w:val="18"/>
                <w:szCs w:val="18"/>
                <w:color w:val="auto"/>
              </w:rPr>
              <w:t>333-230444</w:t>
            </w:r>
          </w:p>
        </w:tc>
        <w:tc>
          <w:tcPr>
            <w:tcW w:w="1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April 8, 2019</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19"/>
          </w:tcPr>
          <w:p>
            <w:pPr>
              <w:spacing w:after="0"/>
              <w:rPr>
                <w:rFonts w:ascii="Arial" w:cs="Arial" w:eastAsia="Arial" w:hAnsi="Arial"/>
                <w:sz w:val="18"/>
                <w:szCs w:val="18"/>
                <w:color w:val="0000EE"/>
                <w:w w:val="96"/>
              </w:rPr>
            </w:pPr>
            <w:hyperlink r:id="rId80">
              <w:r>
                <w:rPr>
                  <w:rFonts w:ascii="Arial" w:cs="Arial" w:eastAsia="Arial" w:hAnsi="Arial"/>
                  <w:sz w:val="18"/>
                  <w:szCs w:val="18"/>
                  <w:color w:val="0000EE"/>
                  <w:w w:val="96"/>
                </w:rPr>
                <w:t>Form of Class A common stock certificate of Zoom Video Communications,</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300" w:type="dxa"/>
            <w:vAlign w:val="bottom"/>
            <w:gridSpan w:val="2"/>
          </w:tcPr>
          <w:p>
            <w:pPr>
              <w:ind w:left="140"/>
              <w:spacing w:after="0"/>
              <w:rPr>
                <w:sz w:val="20"/>
                <w:szCs w:val="20"/>
                <w:color w:val="auto"/>
              </w:rPr>
            </w:pPr>
            <w:r>
              <w:rPr>
                <w:rFonts w:ascii="Arial" w:cs="Arial" w:eastAsia="Arial" w:hAnsi="Arial"/>
                <w:sz w:val="18"/>
                <w:szCs w:val="18"/>
                <w:color w:val="auto"/>
              </w:rPr>
              <w:t>333-230444</w:t>
            </w:r>
          </w:p>
        </w:tc>
        <w:tc>
          <w:tcPr>
            <w:tcW w:w="1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April 8, 2019</w:t>
            </w: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80">
              <w:r>
                <w:rPr>
                  <w:rFonts w:ascii="Arial" w:cs="Arial" w:eastAsia="Arial" w:hAnsi="Arial"/>
                  <w:sz w:val="18"/>
                  <w:szCs w:val="18"/>
                  <w:color w:val="0000EE"/>
                  <w:w w:val="89"/>
                </w:rPr>
                <w:t>Inc.</w:t>
              </w:r>
            </w:hyperlink>
          </w:p>
        </w:tc>
        <w:tc>
          <w:tcPr>
            <w:tcW w:w="5240" w:type="dxa"/>
            <w:vAlign w:val="bottom"/>
            <w:tcBorders>
              <w:top w:val="single" w:sz="8" w:color="0000EE"/>
            </w:tcBorders>
            <w:gridSpan w:val="12"/>
          </w:tcPr>
          <w:p>
            <w:pPr>
              <w:spacing w:after="0"/>
              <w:rPr>
                <w:sz w:val="17"/>
                <w:szCs w:val="17"/>
                <w:color w:val="auto"/>
              </w:rPr>
            </w:pPr>
          </w:p>
        </w:tc>
        <w:tc>
          <w:tcPr>
            <w:tcW w:w="28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19"/>
          </w:tcPr>
          <w:p>
            <w:pPr>
              <w:spacing w:after="0"/>
              <w:rPr>
                <w:rFonts w:ascii="Arial" w:cs="Arial" w:eastAsia="Arial" w:hAnsi="Arial"/>
                <w:sz w:val="18"/>
                <w:szCs w:val="18"/>
                <w:color w:val="0000EE"/>
                <w:w w:val="96"/>
              </w:rPr>
            </w:pPr>
            <w:hyperlink r:id="rId81">
              <w:r>
                <w:rPr>
                  <w:rFonts w:ascii="Arial" w:cs="Arial" w:eastAsia="Arial" w:hAnsi="Arial"/>
                  <w:sz w:val="18"/>
                  <w:szCs w:val="18"/>
                  <w:color w:val="0000EE"/>
                  <w:w w:val="96"/>
                </w:rPr>
                <w:t>Zoom Video Communications, Inc. 2019 Equity Incentive Plan and forms of</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300" w:type="dxa"/>
            <w:vAlign w:val="bottom"/>
            <w:gridSpan w:val="2"/>
          </w:tcPr>
          <w:p>
            <w:pPr>
              <w:ind w:left="140"/>
              <w:spacing w:after="0"/>
              <w:rPr>
                <w:sz w:val="20"/>
                <w:szCs w:val="20"/>
                <w:color w:val="auto"/>
              </w:rPr>
            </w:pPr>
            <w:r>
              <w:rPr>
                <w:rFonts w:ascii="Arial" w:cs="Arial" w:eastAsia="Arial" w:hAnsi="Arial"/>
                <w:sz w:val="18"/>
                <w:szCs w:val="18"/>
                <w:color w:val="auto"/>
              </w:rPr>
              <w:t>333-230444</w:t>
            </w:r>
          </w:p>
        </w:tc>
        <w:tc>
          <w:tcPr>
            <w:tcW w:w="1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April 8, 2019</w:t>
            </w: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6"/>
              </w:rPr>
            </w:pPr>
            <w:hyperlink r:id="rId81">
              <w:r>
                <w:rPr>
                  <w:rFonts w:ascii="Arial" w:cs="Arial" w:eastAsia="Arial" w:hAnsi="Arial"/>
                  <w:sz w:val="18"/>
                  <w:szCs w:val="18"/>
                  <w:color w:val="0000EE"/>
                  <w:w w:val="86"/>
                </w:rPr>
                <w:t>agreements thereunder.</w:t>
              </w:r>
            </w:hyperlink>
          </w:p>
        </w:tc>
        <w:tc>
          <w:tcPr>
            <w:tcW w:w="3840" w:type="dxa"/>
            <w:vAlign w:val="bottom"/>
            <w:tcBorders>
              <w:top w:val="single" w:sz="8" w:color="0000EE"/>
            </w:tcBorders>
            <w:gridSpan w:val="8"/>
          </w:tcPr>
          <w:p>
            <w:pPr>
              <w:spacing w:after="0"/>
              <w:rPr>
                <w:sz w:val="17"/>
                <w:szCs w:val="17"/>
                <w:color w:val="auto"/>
              </w:rPr>
            </w:pPr>
          </w:p>
        </w:tc>
        <w:tc>
          <w:tcPr>
            <w:tcW w:w="28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19"/>
          </w:tcPr>
          <w:p>
            <w:pPr>
              <w:spacing w:after="0"/>
              <w:rPr>
                <w:rFonts w:ascii="Arial" w:cs="Arial" w:eastAsia="Arial" w:hAnsi="Arial"/>
                <w:sz w:val="18"/>
                <w:szCs w:val="18"/>
                <w:color w:val="0000EE"/>
              </w:rPr>
            </w:pPr>
            <w:hyperlink r:id="rId82">
              <w:r>
                <w:rPr>
                  <w:rFonts w:ascii="Arial" w:cs="Arial" w:eastAsia="Arial" w:hAnsi="Arial"/>
                  <w:sz w:val="18"/>
                  <w:szCs w:val="18"/>
                  <w:color w:val="0000EE"/>
                </w:rPr>
                <w:t>Zoom Video Communications, Inc 2019 Employee Stock Purchase Plan.</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300" w:type="dxa"/>
            <w:vAlign w:val="bottom"/>
            <w:gridSpan w:val="2"/>
          </w:tcPr>
          <w:p>
            <w:pPr>
              <w:ind w:left="140"/>
              <w:spacing w:after="0"/>
              <w:rPr>
                <w:sz w:val="20"/>
                <w:szCs w:val="20"/>
                <w:color w:val="auto"/>
              </w:rPr>
            </w:pPr>
            <w:r>
              <w:rPr>
                <w:rFonts w:ascii="Arial" w:cs="Arial" w:eastAsia="Arial" w:hAnsi="Arial"/>
                <w:sz w:val="18"/>
                <w:szCs w:val="18"/>
                <w:color w:val="auto"/>
              </w:rPr>
              <w:t>333-230444</w:t>
            </w:r>
          </w:p>
        </w:tc>
        <w:tc>
          <w:tcPr>
            <w:tcW w:w="1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April 8, 2019</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60" w:type="dxa"/>
            <w:vAlign w:val="bottom"/>
            <w:tcBorders>
              <w:bottom w:val="single" w:sz="8" w:color="0000EE"/>
            </w:tcBorders>
            <w:gridSpan w:val="16"/>
          </w:tcPr>
          <w:p>
            <w:pPr>
              <w:spacing w:after="0"/>
              <w:rPr>
                <w:rFonts w:ascii="Arial" w:cs="Arial" w:eastAsia="Arial" w:hAnsi="Arial"/>
                <w:sz w:val="18"/>
                <w:szCs w:val="18"/>
                <w:color w:val="0000EE"/>
                <w:w w:val="91"/>
              </w:rPr>
            </w:pPr>
            <w:hyperlink r:id="rId83">
              <w:r>
                <w:rPr>
                  <w:rFonts w:ascii="Arial" w:cs="Arial" w:eastAsia="Arial" w:hAnsi="Arial"/>
                  <w:sz w:val="18"/>
                  <w:szCs w:val="18"/>
                  <w:color w:val="0000EE"/>
                  <w:w w:val="91"/>
                </w:rPr>
                <w:t>Form of Indemnification Agreement entered into by and between Zoom Video</w:t>
              </w:r>
            </w:hyperlink>
          </w:p>
        </w:tc>
        <w:tc>
          <w:tcPr>
            <w:tcW w:w="140" w:type="dxa"/>
            <w:vAlign w:val="bottom"/>
            <w:gridSpan w:val="3"/>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00" w:type="dxa"/>
            <w:vAlign w:val="bottom"/>
            <w:gridSpan w:val="2"/>
          </w:tcPr>
          <w:p>
            <w:pPr>
              <w:ind w:left="140"/>
              <w:spacing w:after="0"/>
              <w:rPr>
                <w:sz w:val="20"/>
                <w:szCs w:val="20"/>
                <w:color w:val="auto"/>
              </w:rPr>
            </w:pPr>
            <w:r>
              <w:rPr>
                <w:rFonts w:ascii="Arial" w:cs="Arial" w:eastAsia="Arial" w:hAnsi="Arial"/>
                <w:sz w:val="18"/>
                <w:szCs w:val="18"/>
                <w:color w:val="auto"/>
              </w:rPr>
              <w:t>333-230444</w:t>
            </w:r>
          </w:p>
        </w:tc>
        <w:tc>
          <w:tcPr>
            <w:tcW w:w="1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March 22, 2019</w:t>
            </w: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Communications, Inc. and each director and executive officer.</w:t>
              </w:r>
            </w:hyperlink>
          </w:p>
        </w:tc>
        <w:tc>
          <w:tcPr>
            <w:tcW w:w="1320" w:type="dxa"/>
            <w:vAlign w:val="bottom"/>
            <w:gridSpan w:val="12"/>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19"/>
          </w:tcPr>
          <w:p>
            <w:pPr>
              <w:spacing w:after="0"/>
              <w:rPr>
                <w:rFonts w:ascii="Arial" w:cs="Arial" w:eastAsia="Arial" w:hAnsi="Arial"/>
                <w:sz w:val="18"/>
                <w:szCs w:val="18"/>
                <w:color w:val="0000EE"/>
              </w:rPr>
            </w:pPr>
            <w:hyperlink r:id="rId84">
              <w:r>
                <w:rPr>
                  <w:rFonts w:ascii="Arial" w:cs="Arial" w:eastAsia="Arial" w:hAnsi="Arial"/>
                  <w:sz w:val="18"/>
                  <w:szCs w:val="18"/>
                  <w:color w:val="0000EE"/>
                </w:rPr>
                <w:t>Zoom Video Communications, Inc. Officer Incentive Plan</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00" w:type="dxa"/>
            <w:vAlign w:val="bottom"/>
            <w:gridSpan w:val="2"/>
          </w:tcPr>
          <w:p>
            <w:pPr>
              <w:ind w:left="140"/>
              <w:spacing w:after="0"/>
              <w:rPr>
                <w:sz w:val="20"/>
                <w:szCs w:val="20"/>
                <w:color w:val="auto"/>
              </w:rPr>
            </w:pPr>
            <w:r>
              <w:rPr>
                <w:rFonts w:ascii="Arial" w:cs="Arial" w:eastAsia="Arial" w:hAnsi="Arial"/>
                <w:sz w:val="18"/>
                <w:szCs w:val="18"/>
                <w:color w:val="auto"/>
              </w:rPr>
              <w:t>333-230444</w:t>
            </w:r>
          </w:p>
        </w:tc>
        <w:tc>
          <w:tcPr>
            <w:tcW w:w="1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March 22, 2019</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19"/>
          </w:tcPr>
          <w:p>
            <w:pPr>
              <w:spacing w:after="0"/>
              <w:rPr>
                <w:rFonts w:ascii="Arial" w:cs="Arial" w:eastAsia="Arial" w:hAnsi="Arial"/>
                <w:sz w:val="18"/>
                <w:szCs w:val="18"/>
                <w:color w:val="0000EE"/>
              </w:rPr>
            </w:pPr>
            <w:hyperlink r:id="rId85">
              <w:r>
                <w:rPr>
                  <w:rFonts w:ascii="Arial" w:cs="Arial" w:eastAsia="Arial" w:hAnsi="Arial"/>
                  <w:sz w:val="18"/>
                  <w:szCs w:val="18"/>
                  <w:color w:val="0000EE"/>
                </w:rPr>
                <w:t>Common Stock Purchase Agreement by and among the Registrant,</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300" w:type="dxa"/>
            <w:vAlign w:val="bottom"/>
            <w:gridSpan w:val="2"/>
          </w:tcPr>
          <w:p>
            <w:pPr>
              <w:ind w:left="140"/>
              <w:spacing w:after="0"/>
              <w:rPr>
                <w:sz w:val="20"/>
                <w:szCs w:val="20"/>
                <w:color w:val="auto"/>
              </w:rPr>
            </w:pPr>
            <w:r>
              <w:rPr>
                <w:rFonts w:ascii="Arial" w:cs="Arial" w:eastAsia="Arial" w:hAnsi="Arial"/>
                <w:sz w:val="18"/>
                <w:szCs w:val="18"/>
                <w:color w:val="auto"/>
              </w:rPr>
              <w:t>333-230444</w:t>
            </w:r>
          </w:p>
        </w:tc>
        <w:tc>
          <w:tcPr>
            <w:tcW w:w="1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April 8, 2019</w:t>
            </w: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20" w:type="dxa"/>
            <w:vAlign w:val="bottom"/>
            <w:gridSpan w:val="5"/>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salesforce.com, inc. and Salesforce Ventures LLC, dated as of April 5, 2019.</w:t>
              </w:r>
            </w:hyperlink>
          </w:p>
        </w:tc>
        <w:tc>
          <w:tcPr>
            <w:tcW w:w="28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19"/>
          </w:tcPr>
          <w:p>
            <w:pPr>
              <w:spacing w:after="0"/>
              <w:rPr>
                <w:rFonts w:ascii="Arial" w:cs="Arial" w:eastAsia="Arial" w:hAnsi="Arial"/>
                <w:sz w:val="18"/>
                <w:szCs w:val="18"/>
                <w:color w:val="0000EE"/>
                <w:w w:val="95"/>
              </w:rPr>
            </w:pPr>
            <w:hyperlink w:anchor="page58">
              <w:r>
                <w:rPr>
                  <w:rFonts w:ascii="Arial" w:cs="Arial" w:eastAsia="Arial" w:hAnsi="Arial"/>
                  <w:sz w:val="18"/>
                  <w:szCs w:val="18"/>
                  <w:color w:val="0000EE"/>
                  <w:w w:val="95"/>
                </w:rPr>
                <w:t>Certification of Chief Executive Officer pursuant to Exchange Act Rules 13a-</w:t>
              </w:r>
            </w:hyperlink>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0" w:type="dxa"/>
            <w:vAlign w:val="bottom"/>
            <w:tcBorders>
              <w:right w:val="single" w:sz="8" w:color="0000EE"/>
            </w:tcBorders>
            <w:gridSpan w:val="11"/>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0" w:type="dxa"/>
            <w:vAlign w:val="bottom"/>
            <w:gridSpan w:val="19"/>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14(a) and 15d-14(a), as adopted pursuant to Section 302 of the Sarbanes-Oxley</w:t>
              </w:r>
            </w:hyperlink>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Act of 2002.</w:t>
              </w:r>
            </w:hyperlink>
          </w:p>
        </w:tc>
        <w:tc>
          <w:tcPr>
            <w:tcW w:w="1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Certification of Chief Financial Officer pursuant to Exchange Act Rules 13a-</w:t>
              </w:r>
            </w:hyperlink>
          </w:p>
        </w:tc>
        <w:tc>
          <w:tcPr>
            <w:tcW w:w="20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0" w:type="dxa"/>
            <w:vAlign w:val="bottom"/>
            <w:gridSpan w:val="19"/>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14(a) and 15d-14(a), as adopted pursuant to Section 302 of the Sarbanes-Oxley</w:t>
              </w:r>
            </w:hyperlink>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Act of 2002.</w:t>
              </w:r>
            </w:hyperlink>
          </w:p>
        </w:tc>
        <w:tc>
          <w:tcPr>
            <w:tcW w:w="1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40" w:type="dxa"/>
            <w:vAlign w:val="bottom"/>
            <w:gridSpan w:val="1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40" w:type="dxa"/>
            <w:vAlign w:val="bottom"/>
            <w:tcBorders>
              <w:bottom w:val="single" w:sz="8" w:color="0000EE"/>
            </w:tcBorders>
            <w:gridSpan w:val="15"/>
          </w:tcPr>
          <w:p>
            <w:pPr>
              <w:spacing w:after="0"/>
              <w:rPr>
                <w:rFonts w:ascii="Arial" w:cs="Arial" w:eastAsia="Arial" w:hAnsi="Arial"/>
                <w:sz w:val="18"/>
                <w:szCs w:val="18"/>
                <w:color w:val="0000EE"/>
                <w:w w:val="93"/>
              </w:rPr>
            </w:pPr>
            <w:hyperlink w:anchor="page60">
              <w:r>
                <w:rPr>
                  <w:rFonts w:ascii="Arial" w:cs="Arial" w:eastAsia="Arial" w:hAnsi="Arial"/>
                  <w:sz w:val="18"/>
                  <w:szCs w:val="18"/>
                  <w:color w:val="0000EE"/>
                  <w:w w:val="93"/>
                </w:rPr>
                <w:t>Certifications of Chief Executive Officer and Chief Financial Officer pursuant</w:t>
              </w:r>
            </w:hyperlink>
          </w:p>
        </w:tc>
        <w:tc>
          <w:tcPr>
            <w:tcW w:w="16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0" w:type="dxa"/>
            <w:vAlign w:val="bottom"/>
            <w:gridSpan w:val="19"/>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to 18 U.S.C. Section 1350, as adopted pursuant to Section 906 of the Sarbanes-</w:t>
              </w:r>
            </w:hyperlink>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60">
              <w:r>
                <w:rPr>
                  <w:rFonts w:ascii="Arial" w:cs="Arial" w:eastAsia="Arial" w:hAnsi="Arial"/>
                  <w:sz w:val="18"/>
                  <w:szCs w:val="18"/>
                  <w:color w:val="0000EE"/>
                  <w:w w:val="93"/>
                </w:rPr>
                <w:t>Oxley Act of 2002.</w:t>
              </w:r>
            </w:hyperlink>
          </w:p>
        </w:tc>
        <w:tc>
          <w:tcPr>
            <w:tcW w:w="4300" w:type="dxa"/>
            <w:vAlign w:val="bottom"/>
            <w:tcBorders>
              <w:top w:val="single" w:sz="8" w:color="0000EE"/>
            </w:tcBorders>
            <w:gridSpan w:val="14"/>
          </w:tcPr>
          <w:p>
            <w:pPr>
              <w:spacing w:after="0"/>
              <w:rPr>
                <w:sz w:val="17"/>
                <w:szCs w:val="17"/>
                <w:color w:val="auto"/>
              </w:rPr>
            </w:pPr>
          </w:p>
        </w:tc>
        <w:tc>
          <w:tcPr>
            <w:tcW w:w="1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358"/>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19"/>
          </w:tcPr>
          <w:p>
            <w:pPr>
              <w:spacing w:after="0"/>
              <w:rPr>
                <w:sz w:val="20"/>
                <w:szCs w:val="20"/>
                <w:color w:val="auto"/>
              </w:rPr>
            </w:pPr>
            <w:r>
              <w:rPr>
                <w:rFonts w:ascii="Arial" w:cs="Arial" w:eastAsia="Arial" w:hAnsi="Arial"/>
                <w:sz w:val="18"/>
                <w:szCs w:val="18"/>
                <w:color w:val="auto"/>
              </w:rPr>
              <w:t>XBRL Instance Document</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19"/>
          </w:tcPr>
          <w:p>
            <w:pPr>
              <w:spacing w:after="0"/>
              <w:rPr>
                <w:sz w:val="20"/>
                <w:szCs w:val="20"/>
                <w:color w:val="auto"/>
              </w:rPr>
            </w:pPr>
            <w:r>
              <w:rPr>
                <w:rFonts w:ascii="Arial" w:cs="Arial" w:eastAsia="Arial" w:hAnsi="Arial"/>
                <w:sz w:val="18"/>
                <w:szCs w:val="18"/>
                <w:color w:val="auto"/>
              </w:rPr>
              <w:t>XBRL Taxonomy Extension Schema Document</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1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1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19"/>
          </w:tcPr>
          <w:p>
            <w:pPr>
              <w:spacing w:after="0"/>
              <w:rPr>
                <w:sz w:val="20"/>
                <w:szCs w:val="20"/>
                <w:color w:val="auto"/>
              </w:rPr>
            </w:pPr>
            <w:r>
              <w:rPr>
                <w:rFonts w:ascii="Arial" w:cs="Arial" w:eastAsia="Arial" w:hAnsi="Arial"/>
                <w:sz w:val="18"/>
                <w:szCs w:val="18"/>
                <w:color w:val="auto"/>
              </w:rPr>
              <w:t>XBRL Taxonomy Extension Label Linkbase Document</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1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134"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right="60" w:hanging="512"/>
        <w:spacing w:after="0" w:line="254"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920" w:type="dxa"/>
            <w:vAlign w:val="bottom"/>
            <w:gridSpan w:val="2"/>
          </w:tcPr>
          <w:p>
            <w:pPr>
              <w:ind w:left="2220"/>
              <w:spacing w:after="0"/>
              <w:rPr>
                <w:sz w:val="20"/>
                <w:szCs w:val="20"/>
                <w:color w:val="auto"/>
              </w:rPr>
            </w:pPr>
            <w:r>
              <w:rPr>
                <w:rFonts w:ascii="Arial" w:cs="Arial" w:eastAsia="Arial" w:hAnsi="Arial"/>
                <w:sz w:val="18"/>
                <w:szCs w:val="18"/>
                <w:b w:val="1"/>
                <w:bCs w:val="1"/>
                <w:color w:val="auto"/>
              </w:rPr>
              <w:t>ZOOM VIDEO COMMUNICATIONS, INC.</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June 7, 2019</w:t>
            </w:r>
          </w:p>
        </w:tc>
        <w:tc>
          <w:tcPr>
            <w:tcW w:w="7920" w:type="dxa"/>
            <w:vAlign w:val="bottom"/>
            <w:gridSpan w:val="2"/>
          </w:tcPr>
          <w:p>
            <w:pPr>
              <w:ind w:left="2220"/>
              <w:spacing w:after="0"/>
              <w:rPr>
                <w:sz w:val="20"/>
                <w:szCs w:val="20"/>
                <w:color w:val="auto"/>
              </w:rPr>
            </w:pPr>
            <w:r>
              <w:rPr>
                <w:rFonts w:ascii="Arial" w:cs="Arial" w:eastAsia="Arial" w:hAnsi="Arial"/>
                <w:sz w:val="18"/>
                <w:szCs w:val="18"/>
                <w:color w:val="auto"/>
              </w:rPr>
              <w:t>By: /s/ Eric S. Yuan</w:t>
            </w:r>
          </w:p>
        </w:tc>
      </w:tr>
      <w:tr>
        <w:trPr>
          <w:trHeight w:val="195"/>
        </w:trPr>
        <w:tc>
          <w:tcPr>
            <w:tcW w:w="35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Eric S. Yuan</w:t>
            </w:r>
          </w:p>
        </w:tc>
      </w:tr>
      <w:tr>
        <w:trPr>
          <w:trHeight w:val="216"/>
        </w:trPr>
        <w:tc>
          <w:tcPr>
            <w:tcW w:w="35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June 7, 2019</w:t>
            </w:r>
          </w:p>
        </w:tc>
        <w:tc>
          <w:tcPr>
            <w:tcW w:w="7920" w:type="dxa"/>
            <w:vAlign w:val="bottom"/>
            <w:gridSpan w:val="2"/>
          </w:tcPr>
          <w:p>
            <w:pPr>
              <w:ind w:left="2220"/>
              <w:spacing w:after="0"/>
              <w:rPr>
                <w:sz w:val="20"/>
                <w:szCs w:val="20"/>
                <w:color w:val="auto"/>
              </w:rPr>
            </w:pPr>
            <w:r>
              <w:rPr>
                <w:rFonts w:ascii="Arial" w:cs="Arial" w:eastAsia="Arial" w:hAnsi="Arial"/>
                <w:sz w:val="18"/>
                <w:szCs w:val="18"/>
                <w:color w:val="auto"/>
              </w:rPr>
              <w:t>By: /s/ Kelly Steckelberg</w:t>
            </w:r>
          </w:p>
        </w:tc>
      </w:tr>
      <w:tr>
        <w:trPr>
          <w:trHeight w:val="195"/>
        </w:trPr>
        <w:tc>
          <w:tcPr>
            <w:tcW w:w="35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Kelly Steckelberg</w:t>
            </w:r>
          </w:p>
        </w:tc>
      </w:tr>
      <w:tr>
        <w:trPr>
          <w:trHeight w:val="216"/>
        </w:trPr>
        <w:tc>
          <w:tcPr>
            <w:tcW w:w="35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5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648"/>
        </w:trPr>
        <w:tc>
          <w:tcPr>
            <w:tcW w:w="3500" w:type="dxa"/>
            <w:vAlign w:val="bottom"/>
          </w:tcPr>
          <w:p>
            <w:pPr>
              <w:spacing w:after="0"/>
              <w:rPr>
                <w:sz w:val="24"/>
                <w:szCs w:val="24"/>
                <w:color w:val="auto"/>
              </w:rPr>
            </w:pPr>
          </w:p>
        </w:tc>
        <w:tc>
          <w:tcPr>
            <w:tcW w:w="2560" w:type="dxa"/>
            <w:vAlign w:val="bottom"/>
          </w:tcPr>
          <w:p>
            <w:pPr>
              <w:jc w:val="right"/>
              <w:ind w:right="170"/>
              <w:spacing w:after="0"/>
              <w:rPr>
                <w:sz w:val="20"/>
                <w:szCs w:val="20"/>
                <w:color w:val="auto"/>
              </w:rPr>
            </w:pPr>
            <w:r>
              <w:rPr>
                <w:rFonts w:ascii="Arial" w:cs="Arial" w:eastAsia="Arial" w:hAnsi="Arial"/>
                <w:sz w:val="18"/>
                <w:szCs w:val="18"/>
                <w:color w:val="auto"/>
              </w:rPr>
              <w:t>57</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ind w:left="260" w:right="2240"/>
        <w:spacing w:after="0" w:line="264" w:lineRule="auto"/>
        <w:rPr>
          <w:sz w:val="20"/>
          <w:szCs w:val="20"/>
          <w:color w:val="auto"/>
        </w:rPr>
      </w:pPr>
      <w:r>
        <w:rPr>
          <w:rFonts w:ascii="Arial" w:cs="Arial" w:eastAsia="Arial" w:hAnsi="Arial"/>
          <w:sz w:val="18"/>
          <w:szCs w:val="18"/>
          <w:color w:val="auto"/>
        </w:rPr>
        <w:t>CERTIFICATION OF CHIEF EXECUTIVE OFFICER PURSUANT TO EXCHANGE ACT RULES 13a-14(a) AND 15d-14(a)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Eric S. Yuan, certify that:</w:t>
      </w:r>
    </w:p>
    <w:p>
      <w:pPr>
        <w:spacing w:after="0" w:line="117"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Zoom Video Communications, Inc.;</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7160" w:type="dxa"/>
            <w:vAlign w:val="bottom"/>
            <w:gridSpan w:val="2"/>
          </w:tcPr>
          <w:p>
            <w:pPr>
              <w:ind w:left="2920"/>
              <w:spacing w:after="0"/>
              <w:rPr>
                <w:sz w:val="20"/>
                <w:szCs w:val="20"/>
                <w:color w:val="auto"/>
              </w:rPr>
            </w:pPr>
            <w:r>
              <w:rPr>
                <w:rFonts w:ascii="Arial" w:cs="Arial" w:eastAsia="Arial" w:hAnsi="Arial"/>
                <w:sz w:val="18"/>
                <w:szCs w:val="18"/>
                <w:b w:val="1"/>
                <w:bCs w:val="1"/>
                <w:color w:val="auto"/>
              </w:rPr>
              <w:t>ZOOM VIDEO COMMUNICATIONS, INC.</w:t>
            </w:r>
          </w:p>
        </w:tc>
        <w:tc>
          <w:tcPr>
            <w:tcW w:w="0" w:type="dxa"/>
            <w:vAlign w:val="bottom"/>
          </w:tcPr>
          <w:p>
            <w:pPr>
              <w:spacing w:after="0"/>
              <w:rPr>
                <w:sz w:val="1"/>
                <w:szCs w:val="1"/>
                <w:color w:val="auto"/>
              </w:rPr>
            </w:pPr>
          </w:p>
        </w:tc>
      </w:tr>
      <w:tr>
        <w:trPr>
          <w:trHeight w:val="527"/>
        </w:trPr>
        <w:tc>
          <w:tcPr>
            <w:tcW w:w="4260" w:type="dxa"/>
            <w:vAlign w:val="bottom"/>
            <w:vMerge w:val="restart"/>
          </w:tcPr>
          <w:p>
            <w:pPr>
              <w:spacing w:after="0"/>
              <w:rPr>
                <w:sz w:val="20"/>
                <w:szCs w:val="20"/>
                <w:color w:val="auto"/>
              </w:rPr>
            </w:pPr>
            <w:r>
              <w:rPr>
                <w:rFonts w:ascii="Arial" w:cs="Arial" w:eastAsia="Arial" w:hAnsi="Arial"/>
                <w:sz w:val="18"/>
                <w:szCs w:val="18"/>
                <w:color w:val="auto"/>
              </w:rPr>
              <w:t>Date: June 7, 2019</w:t>
            </w:r>
          </w:p>
        </w:tc>
        <w:tc>
          <w:tcPr>
            <w:tcW w:w="7160" w:type="dxa"/>
            <w:vAlign w:val="bottom"/>
            <w:gridSpan w:val="2"/>
          </w:tcPr>
          <w:p>
            <w:pPr>
              <w:ind w:left="2920"/>
              <w:spacing w:after="0"/>
              <w:rPr>
                <w:sz w:val="20"/>
                <w:szCs w:val="20"/>
                <w:color w:val="auto"/>
              </w:rPr>
            </w:pPr>
            <w:r>
              <w:rPr>
                <w:rFonts w:ascii="Arial" w:cs="Arial" w:eastAsia="Arial" w:hAnsi="Arial"/>
                <w:sz w:val="18"/>
                <w:szCs w:val="18"/>
                <w:color w:val="auto"/>
              </w:rPr>
              <w:t>By: /s/ Eric S. Yuan</w:t>
            </w:r>
          </w:p>
        </w:tc>
        <w:tc>
          <w:tcPr>
            <w:tcW w:w="0" w:type="dxa"/>
            <w:vAlign w:val="bottom"/>
          </w:tcPr>
          <w:p>
            <w:pPr>
              <w:spacing w:after="0"/>
              <w:rPr>
                <w:sz w:val="1"/>
                <w:szCs w:val="1"/>
                <w:color w:val="auto"/>
              </w:rPr>
            </w:pPr>
          </w:p>
        </w:tc>
      </w:tr>
      <w:tr>
        <w:trPr>
          <w:trHeight w:val="195"/>
        </w:trPr>
        <w:tc>
          <w:tcPr>
            <w:tcW w:w="4260" w:type="dxa"/>
            <w:vAlign w:val="bottom"/>
            <w:vMerge w:val="continue"/>
          </w:tcPr>
          <w:p>
            <w:pPr>
              <w:spacing w:after="0"/>
              <w:rPr>
                <w:sz w:val="16"/>
                <w:szCs w:val="16"/>
                <w:color w:val="auto"/>
              </w:rPr>
            </w:pPr>
          </w:p>
        </w:tc>
        <w:tc>
          <w:tcPr>
            <w:tcW w:w="3280" w:type="dxa"/>
            <w:vAlign w:val="bottom"/>
          </w:tcPr>
          <w:p>
            <w:pPr>
              <w:spacing w:after="0"/>
              <w:rPr>
                <w:sz w:val="16"/>
                <w:szCs w:val="16"/>
                <w:color w:val="auto"/>
              </w:rPr>
            </w:pPr>
          </w:p>
        </w:tc>
        <w:tc>
          <w:tcPr>
            <w:tcW w:w="3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Eric S. Yuan</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35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ind w:left="260" w:right="2240"/>
        <w:spacing w:after="0" w:line="264" w:lineRule="auto"/>
        <w:rPr>
          <w:sz w:val="20"/>
          <w:szCs w:val="20"/>
          <w:color w:val="auto"/>
        </w:rPr>
      </w:pPr>
      <w:r>
        <w:rPr>
          <w:rFonts w:ascii="Arial" w:cs="Arial" w:eastAsia="Arial" w:hAnsi="Arial"/>
          <w:sz w:val="18"/>
          <w:szCs w:val="18"/>
          <w:color w:val="auto"/>
        </w:rPr>
        <w:t>CERTIFICATION OF CHIEF FINANCIAL OFFICER PURSUANT TO EXCHANGE ACT RULES 13a-14(a) AND 15d-14(a) AS ADOPTED PURSUANT TO SECTION 302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Kelly Steckelberg, certify that:</w:t>
      </w:r>
    </w:p>
    <w:p>
      <w:pPr>
        <w:spacing w:after="0" w:line="117"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Zoom Video Communications, Inc.;</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7160" w:type="dxa"/>
            <w:vAlign w:val="bottom"/>
            <w:gridSpan w:val="2"/>
          </w:tcPr>
          <w:p>
            <w:pPr>
              <w:ind w:left="2920"/>
              <w:spacing w:after="0"/>
              <w:rPr>
                <w:sz w:val="20"/>
                <w:szCs w:val="20"/>
                <w:color w:val="auto"/>
              </w:rPr>
            </w:pPr>
            <w:r>
              <w:rPr>
                <w:rFonts w:ascii="Arial" w:cs="Arial" w:eastAsia="Arial" w:hAnsi="Arial"/>
                <w:sz w:val="18"/>
                <w:szCs w:val="18"/>
                <w:b w:val="1"/>
                <w:bCs w:val="1"/>
                <w:color w:val="auto"/>
              </w:rPr>
              <w:t>ZOOM VIDEO COMMUNICATIONS, INC.</w:t>
            </w:r>
          </w:p>
        </w:tc>
        <w:tc>
          <w:tcPr>
            <w:tcW w:w="0" w:type="dxa"/>
            <w:vAlign w:val="bottom"/>
          </w:tcPr>
          <w:p>
            <w:pPr>
              <w:spacing w:after="0"/>
              <w:rPr>
                <w:sz w:val="1"/>
                <w:szCs w:val="1"/>
                <w:color w:val="auto"/>
              </w:rPr>
            </w:pPr>
          </w:p>
        </w:tc>
      </w:tr>
      <w:tr>
        <w:trPr>
          <w:trHeight w:val="527"/>
        </w:trPr>
        <w:tc>
          <w:tcPr>
            <w:tcW w:w="4260" w:type="dxa"/>
            <w:vAlign w:val="bottom"/>
            <w:vMerge w:val="restart"/>
          </w:tcPr>
          <w:p>
            <w:pPr>
              <w:spacing w:after="0"/>
              <w:rPr>
                <w:sz w:val="20"/>
                <w:szCs w:val="20"/>
                <w:color w:val="auto"/>
              </w:rPr>
            </w:pPr>
            <w:r>
              <w:rPr>
                <w:rFonts w:ascii="Arial" w:cs="Arial" w:eastAsia="Arial" w:hAnsi="Arial"/>
                <w:sz w:val="18"/>
                <w:szCs w:val="18"/>
                <w:color w:val="auto"/>
              </w:rPr>
              <w:t>Date: June 7, 2019</w:t>
            </w:r>
          </w:p>
        </w:tc>
        <w:tc>
          <w:tcPr>
            <w:tcW w:w="7160" w:type="dxa"/>
            <w:vAlign w:val="bottom"/>
            <w:gridSpan w:val="2"/>
          </w:tcPr>
          <w:p>
            <w:pPr>
              <w:ind w:left="2920"/>
              <w:spacing w:after="0"/>
              <w:rPr>
                <w:sz w:val="20"/>
                <w:szCs w:val="20"/>
                <w:color w:val="auto"/>
              </w:rPr>
            </w:pPr>
            <w:r>
              <w:rPr>
                <w:rFonts w:ascii="Arial" w:cs="Arial" w:eastAsia="Arial" w:hAnsi="Arial"/>
                <w:sz w:val="18"/>
                <w:szCs w:val="18"/>
                <w:color w:val="auto"/>
              </w:rPr>
              <w:t>By: /s/ Kelly Steckelberg</w:t>
            </w:r>
          </w:p>
        </w:tc>
        <w:tc>
          <w:tcPr>
            <w:tcW w:w="0" w:type="dxa"/>
            <w:vAlign w:val="bottom"/>
          </w:tcPr>
          <w:p>
            <w:pPr>
              <w:spacing w:after="0"/>
              <w:rPr>
                <w:sz w:val="1"/>
                <w:szCs w:val="1"/>
                <w:color w:val="auto"/>
              </w:rPr>
            </w:pPr>
          </w:p>
        </w:tc>
      </w:tr>
      <w:tr>
        <w:trPr>
          <w:trHeight w:val="195"/>
        </w:trPr>
        <w:tc>
          <w:tcPr>
            <w:tcW w:w="4260" w:type="dxa"/>
            <w:vAlign w:val="bottom"/>
            <w:vMerge w:val="continue"/>
          </w:tcPr>
          <w:p>
            <w:pPr>
              <w:spacing w:after="0"/>
              <w:rPr>
                <w:sz w:val="16"/>
                <w:szCs w:val="16"/>
                <w:color w:val="auto"/>
              </w:rPr>
            </w:pPr>
          </w:p>
        </w:tc>
        <w:tc>
          <w:tcPr>
            <w:tcW w:w="3280" w:type="dxa"/>
            <w:vAlign w:val="bottom"/>
          </w:tcPr>
          <w:p>
            <w:pPr>
              <w:spacing w:after="0"/>
              <w:rPr>
                <w:sz w:val="16"/>
                <w:szCs w:val="16"/>
                <w:color w:val="auto"/>
              </w:rPr>
            </w:pPr>
          </w:p>
        </w:tc>
        <w:tc>
          <w:tcPr>
            <w:tcW w:w="3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Kelly Steckelberg</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35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AND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 Eric S. Yuan, certify, pursuant to 18 U.S.C. Section 1350, as adopted pursuant to Section 906 of the Sarbanes-Oxley Act of 2002, that the Quarterly Report on Form 10-Q of Zoom Video Communications, Inc. for the fiscal quarter ended April 30, 2019 fully complies with the requirements of Section 13(a) or 15(d) of the Securities Exchange Act of 1934 and that information contained in such Quarterly Report on Form 10-Q fairly presents, in all material respects, the financial condition and results of operations of Zoom Video Communications, Inc.</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7380" w:type="dxa"/>
            <w:vAlign w:val="bottom"/>
            <w:gridSpan w:val="2"/>
          </w:tcPr>
          <w:p>
            <w:pPr>
              <w:ind w:left="2700"/>
              <w:spacing w:after="0"/>
              <w:rPr>
                <w:sz w:val="20"/>
                <w:szCs w:val="20"/>
                <w:color w:val="auto"/>
              </w:rPr>
            </w:pPr>
            <w:r>
              <w:rPr>
                <w:rFonts w:ascii="Arial" w:cs="Arial" w:eastAsia="Arial" w:hAnsi="Arial"/>
                <w:sz w:val="18"/>
                <w:szCs w:val="18"/>
                <w:b w:val="1"/>
                <w:bCs w:val="1"/>
                <w:color w:val="auto"/>
              </w:rPr>
              <w:t>ZOOM VIDEO COMMUNICATIONS, INC.</w:t>
            </w: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Date: June 7, 2019</w:t>
            </w:r>
          </w:p>
        </w:tc>
        <w:tc>
          <w:tcPr>
            <w:tcW w:w="7380" w:type="dxa"/>
            <w:vAlign w:val="bottom"/>
            <w:gridSpan w:val="2"/>
          </w:tcPr>
          <w:p>
            <w:pPr>
              <w:ind w:left="2700"/>
              <w:spacing w:after="0"/>
              <w:rPr>
                <w:sz w:val="20"/>
                <w:szCs w:val="20"/>
                <w:color w:val="auto"/>
              </w:rPr>
            </w:pPr>
            <w:r>
              <w:rPr>
                <w:rFonts w:ascii="Arial" w:cs="Arial" w:eastAsia="Arial" w:hAnsi="Arial"/>
                <w:sz w:val="18"/>
                <w:szCs w:val="18"/>
                <w:color w:val="auto"/>
              </w:rPr>
              <w:t>By:  /s/ Eric S. Yuan</w:t>
            </w:r>
          </w:p>
        </w:tc>
      </w:tr>
      <w:tr>
        <w:trPr>
          <w:trHeight w:val="195"/>
        </w:trPr>
        <w:tc>
          <w:tcPr>
            <w:tcW w:w="40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Eric S. Yuan</w:t>
            </w:r>
          </w:p>
        </w:tc>
      </w:tr>
      <w:tr>
        <w:trPr>
          <w:trHeight w:val="216"/>
        </w:trPr>
        <w:tc>
          <w:tcPr>
            <w:tcW w:w="40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0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200" w:lineRule="exact"/>
        <w:rPr>
          <w:sz w:val="20"/>
          <w:szCs w:val="20"/>
          <w:color w:val="auto"/>
        </w:rPr>
      </w:pPr>
    </w:p>
    <w:p>
      <w:pPr>
        <w:spacing w:after="0" w:line="2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 Kelly Steckelberg, certify, pursuant to 18 U.S.C. Section 1350, as adopted pursuant to Section 906 of the Sarbanes-Oxley Act of 2002, that the Quarterly Report on Form 10-Q of Zoom Video Communications, Inc. for the fiscal quarter ended April 30, 2019 fully complies with the requirements of Section 13(a) or 15(d) of the Securities Exchange Act of 1934 and that information contained in such Quarterly Report on Form 10-Q fairly presents, in all material respects, the financial condition and results of operations of Zoom Video Communications, Inc.</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7380" w:type="dxa"/>
            <w:vAlign w:val="bottom"/>
            <w:gridSpan w:val="2"/>
          </w:tcPr>
          <w:p>
            <w:pPr>
              <w:ind w:left="2700"/>
              <w:spacing w:after="0"/>
              <w:rPr>
                <w:sz w:val="20"/>
                <w:szCs w:val="20"/>
                <w:color w:val="auto"/>
              </w:rPr>
            </w:pPr>
            <w:r>
              <w:rPr>
                <w:rFonts w:ascii="Arial" w:cs="Arial" w:eastAsia="Arial" w:hAnsi="Arial"/>
                <w:sz w:val="18"/>
                <w:szCs w:val="18"/>
                <w:b w:val="1"/>
                <w:bCs w:val="1"/>
                <w:color w:val="auto"/>
              </w:rPr>
              <w:t>ZOOM VIDEO COMMUNICATIONS, INC.</w:t>
            </w: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Date: June 7, 2019</w:t>
            </w:r>
          </w:p>
        </w:tc>
        <w:tc>
          <w:tcPr>
            <w:tcW w:w="7380" w:type="dxa"/>
            <w:vAlign w:val="bottom"/>
            <w:gridSpan w:val="2"/>
          </w:tcPr>
          <w:p>
            <w:pPr>
              <w:ind w:left="2700"/>
              <w:spacing w:after="0"/>
              <w:rPr>
                <w:sz w:val="20"/>
                <w:szCs w:val="20"/>
                <w:color w:val="auto"/>
              </w:rPr>
            </w:pPr>
            <w:r>
              <w:rPr>
                <w:rFonts w:ascii="Arial" w:cs="Arial" w:eastAsia="Arial" w:hAnsi="Arial"/>
                <w:sz w:val="18"/>
                <w:szCs w:val="18"/>
                <w:color w:val="auto"/>
              </w:rPr>
              <w:t>By:  /s/ Kelly Steckelberg</w:t>
            </w:r>
          </w:p>
        </w:tc>
      </w:tr>
      <w:tr>
        <w:trPr>
          <w:trHeight w:val="195"/>
        </w:trPr>
        <w:tc>
          <w:tcPr>
            <w:tcW w:w="40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Kelly Steckelberg</w:t>
            </w:r>
          </w:p>
        </w:tc>
      </w:tr>
      <w:tr>
        <w:trPr>
          <w:trHeight w:val="216"/>
        </w:trPr>
        <w:tc>
          <w:tcPr>
            <w:tcW w:w="40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0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1."/>
      <w:numFmt w:val="decimal"/>
      <w:start w:val="2"/>
    </w:lvl>
  </w:abstractNum>
  <w:abstractNum w:abstractNumId="6">
    <w:nsid w:val="257130A3"/>
    <w:multiLevelType w:val="hybridMultilevel"/>
    <w:lvl w:ilvl="0">
      <w:lvlJc w:val="left"/>
      <w:lvlText w:val="%1."/>
      <w:numFmt w:val="decimal"/>
      <w:start w:val="3"/>
    </w:lvl>
  </w:abstractNum>
  <w:abstractNum w:abstractNumId="7">
    <w:nsid w:val="62BBD95A"/>
    <w:multiLevelType w:val="hybridMultilevel"/>
    <w:lvl w:ilvl="0">
      <w:lvlJc w:val="left"/>
      <w:lvlText w:val="%1."/>
      <w:numFmt w:val="decimal"/>
      <w:start w:val="4"/>
    </w:lvl>
  </w:abstractNum>
  <w:abstractNum w:abstractNumId="8">
    <w:nsid w:val="436C6125"/>
    <w:multiLevelType w:val="hybridMultilevel"/>
    <w:lvl w:ilvl="0">
      <w:lvlJc w:val="left"/>
      <w:lvlText w:val="%1."/>
      <w:numFmt w:val="decimal"/>
      <w:start w:val="6"/>
    </w:lvl>
  </w:abstractNum>
  <w:abstractNum w:abstractNumId="9">
    <w:nsid w:val="628C895D"/>
    <w:multiLevelType w:val="hybridMultilevel"/>
    <w:lvl w:ilvl="0">
      <w:lvlJc w:val="left"/>
      <w:lvlText w:val="%1."/>
      <w:numFmt w:val="decimal"/>
      <w:start w:val="7"/>
    </w:lvl>
  </w:abstractNum>
  <w:abstractNum w:abstractNumId="10">
    <w:nsid w:val="333AB105"/>
    <w:multiLevelType w:val="hybridMultilevel"/>
    <w:lvl w:ilvl="0">
      <w:lvlJc w:val="left"/>
      <w:lvlText w:val="%1."/>
      <w:numFmt w:val="decimal"/>
      <w:start w:val="8"/>
    </w:lvl>
  </w:abstractNum>
  <w:abstractNum w:abstractNumId="11">
    <w:nsid w:val="721DA317"/>
    <w:multiLevelType w:val="hybridMultilevel"/>
    <w:lvl w:ilvl="0">
      <w:lvlJc w:val="left"/>
      <w:lvlText w:val="%1."/>
      <w:numFmt w:val="decimal"/>
      <w:start w:val="9"/>
    </w:lvl>
  </w:abstractNum>
  <w:abstractNum w:abstractNumId="12">
    <w:nsid w:val="2443A858"/>
    <w:multiLevelType w:val="hybridMultilevel"/>
    <w:lvl w:ilvl="0">
      <w:lvlJc w:val="left"/>
      <w:lvlText w:val="%1."/>
      <w:numFmt w:val="decimal"/>
      <w:start w:val="10"/>
    </w:lvl>
  </w:abstractNum>
  <w:abstractNum w:abstractNumId="13">
    <w:nsid w:val="2D1D5AE9"/>
    <w:multiLevelType w:val="hybridMultilevel"/>
    <w:lvl w:ilvl="0">
      <w:lvlJc w:val="left"/>
      <w:lvlText w:val="%1."/>
      <w:numFmt w:val="decimal"/>
      <w:start w:val="11"/>
    </w:lvl>
  </w:abstractNum>
  <w:abstractNum w:abstractNumId="14">
    <w:nsid w:val="6763845E"/>
    <w:multiLevelType w:val="hybridMultilevel"/>
    <w:lvl w:ilvl="0">
      <w:lvlJc w:val="left"/>
      <w:lvlText w:val="%1."/>
      <w:numFmt w:val="decimal"/>
      <w:start w:val="12"/>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lowerRoman"/>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6" Type="http://schemas.openxmlformats.org/officeDocument/2006/relationships/image" Target="media/image71.png"/><Relationship Id="rId78" Type="http://schemas.openxmlformats.org/officeDocument/2006/relationships/hyperlink" Target="http://www.sec.gov/Archives/edgar/data/1585521/000119312519115111/d736915dex31.htm" TargetMode="External"/><Relationship Id="rId79" Type="http://schemas.openxmlformats.org/officeDocument/2006/relationships/hyperlink" Target="http://www.sec.gov/Archives/edgar/data/1585521/000119312519099813/d642624dex34.htm" TargetMode="External"/><Relationship Id="rId80" Type="http://schemas.openxmlformats.org/officeDocument/2006/relationships/hyperlink" Target="http://www.sec.gov/Archives/edgar/data/1585521/000119312519099813/d642624dex41.htm" TargetMode="External"/><Relationship Id="rId81" Type="http://schemas.openxmlformats.org/officeDocument/2006/relationships/hyperlink" Target="http://www.sec.gov/Archives/edgar/data/1585521/000119312519099813/d642624dex102.htm" TargetMode="External"/><Relationship Id="rId82" Type="http://schemas.openxmlformats.org/officeDocument/2006/relationships/hyperlink" Target="http://www.sec.gov/Archives/edgar/data/1585521/000119312519099813/d642624dex103.htm" TargetMode="External"/><Relationship Id="rId83" Type="http://schemas.openxmlformats.org/officeDocument/2006/relationships/hyperlink" Target="http://www.sec.gov/Archives/edgar/data/1585521/000119312519083351/d642624dex104.htm" TargetMode="External"/><Relationship Id="rId84" Type="http://schemas.openxmlformats.org/officeDocument/2006/relationships/hyperlink" Target="http://www.sec.gov/Archives/edgar/data/1585521/000119312519083351/d642624dex1010.htm" TargetMode="External"/><Relationship Id="rId85" Type="http://schemas.openxmlformats.org/officeDocument/2006/relationships/hyperlink" Target="http://www.sec.gov/Archives/edgar/data/1585521/000119312519099813/d642624d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2019-12-28T11:11:31Z</dcterms:created>
  <dcterms:modified xsi:type="dcterms:W3CDTF">2019-12-28T11:11:31Z</dcterms:modified>
</cp:coreProperties>
</file>