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0" w:after="283"/>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bidi w:val="0"/>
        <w:spacing w:lineRule="auto" w:line="288" w:before="100" w:after="283"/>
        <w:jc w:val="center"/>
        <w:rPr>
          <w:rFonts w:ascii="Times New Roman;sans-serif" w:hAnsi="Times New Roman;sans-serif"/>
          <w:b/>
          <w:color w:val="000000"/>
          <w:sz w:val="30"/>
        </w:rPr>
      </w:pPr>
      <w:r>
        <w:rPr>
          <w:rFonts w:ascii="Times New Roman;sans-serif" w:hAnsi="Times New Roman;sans-serif"/>
          <w:b/>
          <w:color w:val="000000"/>
          <w:sz w:val="30"/>
        </w:rPr>
        <w:t>FORM 10-Q</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bidi w:val="0"/>
        <w:spacing w:lineRule="auto" w:line="288" w:before="5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5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April 30, 2025 </w:t>
      </w:r>
    </w:p>
    <w:p>
      <w:pPr>
        <w:pStyle w:val="TextBody"/>
        <w:bidi w:val="0"/>
        <w:spacing w:lineRule="auto" w:line="288" w:before="5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5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001-38865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bidi w:val="0"/>
        <w:spacing w:lineRule="auto" w:line="288" w:before="50" w:after="283"/>
        <w:jc w:val="center"/>
        <w:rPr>
          <w:rFonts w:ascii="Times New Roman;sans-serif" w:hAnsi="Times New Roman;sans-serif"/>
          <w:b/>
          <w:color w:val="000000"/>
          <w:sz w:val="42"/>
        </w:rPr>
      </w:pPr>
      <w:r>
        <w:rPr>
          <w:rFonts w:ascii="Times New Roman;sans-serif" w:hAnsi="Times New Roman;sans-serif"/>
          <w:b/>
          <w:color w:val="000000"/>
          <w:sz w:val="42"/>
        </w:rPr>
        <w:t>Zoom Communications,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tbl>
      <w:tblPr>
        <w:tblW w:w="4048" w:type="dxa"/>
        <w:jc w:val="center"/>
        <w:tblInd w:w="0" w:type="dxa"/>
        <w:tblLayout w:type="fixed"/>
        <w:tblCellMar>
          <w:top w:w="28" w:type="dxa"/>
          <w:left w:w="28" w:type="dxa"/>
          <w:bottom w:w="28" w:type="dxa"/>
          <w:right w:w="28" w:type="dxa"/>
        </w:tblCellMar>
      </w:tblPr>
      <w:tblGrid>
        <w:gridCol w:w="927"/>
        <w:gridCol w:w="813"/>
        <w:gridCol w:w="824"/>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61-1648780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50" w:after="283"/>
        <w:jc w:val="center"/>
        <w:rPr/>
      </w:pPr>
      <w:r>
        <w:rPr>
          <w:rFonts w:ascii="Times New Roman;sans-serif" w:hAnsi="Times New Roman;sans-serif"/>
          <w:b/>
          <w:color w:val="000000"/>
          <w:sz w:val="20"/>
        </w:rPr>
        <w:t>55 Almaden Boulevard, 6</w:t>
      </w:r>
      <w:r>
        <w:rPr>
          <w:rFonts w:ascii="Times New Roman;sans-serif" w:hAnsi="Times New Roman;sans-serif"/>
          <w:b/>
          <w:color w:val="000000"/>
          <w:sz w:val="18"/>
        </w:rPr>
        <w:t>th</w:t>
      </w:r>
      <w:r>
        <w:rPr>
          <w:color w:val="000000"/>
        </w:rPr>
        <w:t xml:space="preserve"> </w:t>
      </w:r>
      <w:r>
        <w:rPr>
          <w:rFonts w:ascii="Times New Roman;sans-serif" w:hAnsi="Times New Roman;sans-serif"/>
          <w:b/>
          <w:color w:val="000000"/>
          <w:sz w:val="20"/>
        </w:rPr>
        <w:t>Floor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Jose, California 95113</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and Zip Code)</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(888) 799-9666</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501" w:type="dxa"/>
        <w:jc w:val="center"/>
        <w:tblInd w:w="0" w:type="dxa"/>
        <w:tblLayout w:type="fixed"/>
        <w:tblCellMar>
          <w:top w:w="28" w:type="dxa"/>
          <w:left w:w="28" w:type="dxa"/>
          <w:bottom w:w="28" w:type="dxa"/>
          <w:right w:w="28" w:type="dxa"/>
        </w:tblCellMar>
      </w:tblPr>
      <w:tblGrid>
        <w:gridCol w:w="1377"/>
        <w:gridCol w:w="1212"/>
        <w:gridCol w:w="1220"/>
        <w:gridCol w:w="109"/>
        <w:gridCol w:w="109"/>
        <w:gridCol w:w="109"/>
        <w:gridCol w:w="519"/>
        <w:gridCol w:w="519"/>
        <w:gridCol w:w="521"/>
        <w:gridCol w:w="109"/>
        <w:gridCol w:w="109"/>
        <w:gridCol w:w="109"/>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5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5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May 9, 2025, the number of shares of the registrant’s Class A common stock outstanding was 260,280,054 and the number of shares of the registrant’s Class B common stock outstanding was 42,267,570.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Communications,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April 30, 2025</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6"/>
        <w:gridCol w:w="244"/>
        <w:gridCol w:w="246"/>
        <w:gridCol w:w="2964"/>
        <w:gridCol w:w="2964"/>
        <w:gridCol w:w="2969"/>
        <w:gridCol w:w="158"/>
        <w:gridCol w:w="158"/>
        <w:gridCol w:w="226"/>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0">
              <w:r>
                <w:rPr>
                  <w:rStyle w:val="InternetLink"/>
                  <w:rFonts w:ascii="Times New Roman;sans-serif" w:hAnsi="Times New Roman;sans-serif"/>
                  <w:b w:val="false"/>
                  <w:color w:val="0000FF"/>
                  <w:sz w:val="20"/>
                  <w:u w:val="single"/>
                </w:rPr>
                <w:t>Special Note Regarding Forward-Looking Statements</w:t>
              </w:r>
            </w:hyperlink>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73ffbee2525c45f8999288e2b582f981_10">
              <w:r>
                <w:rPr>
                  <w:rStyle w:val="InternetLink"/>
                  <w:rFonts w:ascii="Times New Roman;sans-serif" w:hAnsi="Times New Roman;sans-serif"/>
                  <w:b w:val="false"/>
                  <w:strike w:val="false"/>
                  <w:dstrike w:val="false"/>
                  <w:color w:val="000000"/>
                  <w:sz w:val="20"/>
                  <w:u w:val="none"/>
                  <w:effect w:val="none"/>
                </w:rPr>
                <w:t>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3">
              <w:r>
                <w:rPr>
                  <w:rStyle w:val="InternetLink"/>
                  <w:rFonts w:ascii="Times New Roman;sans-serif" w:hAnsi="Times New Roman;sans-serif"/>
                  <w:b w:val="false"/>
                  <w:color w:val="0000FF"/>
                  <w:sz w:val="20"/>
                  <w:u w:val="single"/>
                </w:rPr>
                <w:t>Summary 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3">
              <w:r>
                <w:rPr>
                  <w:rStyle w:val="InternetLink"/>
                  <w:rFonts w:ascii="Times New Roman;sans-serif" w:hAnsi="Times New Roman;sans-serif"/>
                  <w:b w:val="false"/>
                  <w:strike w:val="false"/>
                  <w:dstrike w:val="false"/>
                  <w:color w:val="000000"/>
                  <w:sz w:val="20"/>
                  <w:u w:val="none"/>
                  <w:effect w:val="none"/>
                </w:rPr>
                <w:t>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6">
              <w:r>
                <w:rPr>
                  <w:rStyle w:val="InternetLink"/>
                  <w:rFonts w:ascii="Times New Roman;sans-serif" w:hAnsi="Times New Roman;sans-serif"/>
                  <w:b w:val="false"/>
                  <w:color w:val="0000FF"/>
                  <w:sz w:val="20"/>
                  <w:u w:val="single"/>
                </w:rPr>
                <w:t>PART I – Financial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6">
              <w:r>
                <w:rPr>
                  <w:rStyle w:val="InternetLink"/>
                  <w:rFonts w:ascii="Times New Roman;sans-serif" w:hAnsi="Times New Roman;sans-serif"/>
                  <w:b w:val="false"/>
                  <w:strike w:val="false"/>
                  <w:dstrike w:val="false"/>
                  <w:color w:val="000000"/>
                  <w:sz w:val="20"/>
                  <w:u w:val="none"/>
                  <w:effect w:val="none"/>
                </w:rPr>
                <w:t>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9">
              <w:r>
                <w:rPr>
                  <w:rStyle w:val="InternetLink"/>
                  <w:rFonts w:ascii="Times New Roman;sans-serif" w:hAnsi="Times New Roman;sans-serif"/>
                  <w:b w:val="false"/>
                  <w:strike w:val="false"/>
                  <w:dstrike w:val="false"/>
                  <w:color w:val="000000"/>
                  <w:sz w:val="20"/>
                  <w:u w:val="none"/>
                  <w:effect w:val="none"/>
                </w:rPr>
                <w:t>Item 1.</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9">
              <w:r>
                <w:rPr>
                  <w:rStyle w:val="InternetLink"/>
                  <w:rFonts w:ascii="Times New Roman;sans-serif" w:hAnsi="Times New Roman;sans-serif"/>
                  <w:b w:val="false"/>
                  <w:color w:val="0000FF"/>
                  <w:sz w:val="20"/>
                  <w:u w:val="single"/>
                </w:rPr>
                <w:t>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9">
              <w:r>
                <w:rPr>
                  <w:rStyle w:val="InternetLink"/>
                  <w:rFonts w:ascii="Times New Roman;sans-serif" w:hAnsi="Times New Roman;sans-serif"/>
                  <w:b w:val="false"/>
                  <w:strike w:val="false"/>
                  <w:dstrike w:val="false"/>
                  <w:color w:val="000000"/>
                  <w:sz w:val="20"/>
                  <w:u w:val="none"/>
                  <w:effect w:val="none"/>
                </w:rPr>
                <w:t>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22">
              <w:r>
                <w:rPr>
                  <w:rStyle w:val="InternetLink"/>
                  <w:rFonts w:ascii="Times New Roman;sans-serif" w:hAnsi="Times New Roman;sans-serif"/>
                  <w:b w:val="false"/>
                  <w:color w:val="000080"/>
                  <w:sz w:val="20"/>
                  <w:u w:val="single"/>
                </w:rPr>
                <w:t xml:space="preserve">Condensed Consolidated Balance Sheets as of </w:t>
              </w:r>
            </w:hyperlink>
            <w:hyperlink w:anchor="i73ffbee2525c45f8999288e2b582f981_22">
              <w:r>
                <w:rPr>
                  <w:rStyle w:val="InternetLink"/>
                  <w:rFonts w:ascii="Times New Roman;sans-serif" w:hAnsi="Times New Roman;sans-serif"/>
                  <w:b w:val="false"/>
                  <w:color w:val="000080"/>
                  <w:sz w:val="20"/>
                  <w:u w:val="single"/>
                </w:rPr>
                <w:t>April 30, 2025</w:t>
              </w:r>
            </w:hyperlink>
            <w:hyperlink w:anchor="i73ffbee2525c45f8999288e2b582f981_22">
              <w:r>
                <w:rPr>
                  <w:rStyle w:val="InternetLink"/>
                  <w:rFonts w:ascii="Times New Roman;sans-serif" w:hAnsi="Times New Roman;sans-serif"/>
                  <w:b w:val="false"/>
                  <w:color w:val="000080"/>
                  <w:sz w:val="20"/>
                  <w:u w:val="single"/>
                </w:rPr>
                <w:t xml:space="preserve"> and </w:t>
              </w:r>
            </w:hyperlink>
            <w:hyperlink w:anchor="i73ffbee2525c45f8999288e2b582f981_22">
              <w:r>
                <w:rPr>
                  <w:rStyle w:val="InternetLink"/>
                  <w:rFonts w:ascii="Times New Roman;sans-serif" w:hAnsi="Times New Roman;sans-serif"/>
                  <w:b w:val="false"/>
                  <w:color w:val="000080"/>
                  <w:sz w:val="20"/>
                  <w:u w:val="single"/>
                </w:rPr>
                <w:t>January 31,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22">
              <w:r>
                <w:rPr>
                  <w:rStyle w:val="InternetLink"/>
                  <w:rFonts w:ascii="Times New Roman;sans-serif" w:hAnsi="Times New Roman;sans-serif"/>
                  <w:b w:val="false"/>
                  <w:strike w:val="false"/>
                  <w:dstrike w:val="false"/>
                  <w:color w:val="000000"/>
                  <w:sz w:val="20"/>
                  <w:u w:val="none"/>
                  <w:effect w:val="none"/>
                </w:rPr>
                <w:t>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73ffbee2525c45f8999288e2b582f981_25">
              <w:r>
                <w:rPr>
                  <w:rStyle w:val="InternetLink"/>
                  <w:rFonts w:ascii="Times New Roman;sans-serif" w:hAnsi="Times New Roman;sans-serif"/>
                  <w:b w:val="false"/>
                  <w:color w:val="000080"/>
                  <w:sz w:val="20"/>
                  <w:u w:val="single"/>
                </w:rPr>
                <w:t xml:space="preserve">Condensed Consolidated Statements of Operations for the </w:t>
              </w:r>
            </w:hyperlink>
            <w:hyperlink w:anchor="i73ffbee2525c45f8999288e2b582f981_25">
              <w:r>
                <w:rPr>
                  <w:rStyle w:val="InternetLink"/>
                  <w:rFonts w:ascii="Times New Roman;sans-serif" w:hAnsi="Times New Roman;sans-serif"/>
                  <w:b w:val="false"/>
                  <w:color w:val="000080"/>
                  <w:sz w:val="20"/>
                  <w:u w:val="single"/>
                </w:rPr>
                <w:t xml:space="preserve">Three </w:t>
              </w:r>
            </w:hyperlink>
            <w:hyperlink w:anchor="i73ffbee2525c45f8999288e2b582f981_25">
              <w:r>
                <w:rPr>
                  <w:rStyle w:val="InternetLink"/>
                  <w:rFonts w:ascii="Times New Roman;sans-serif" w:hAnsi="Times New Roman;sans-serif"/>
                  <w:b w:val="false"/>
                  <w:color w:val="000080"/>
                  <w:sz w:val="20"/>
                  <w:u w:val="single"/>
                </w:rPr>
                <w:t xml:space="preserve">Months Ended </w:t>
              </w:r>
            </w:hyperlink>
            <w:hyperlink w:anchor="i73ffbee2525c45f8999288e2b582f981_25">
              <w:r>
                <w:rPr>
                  <w:rStyle w:val="InternetLink"/>
                  <w:rFonts w:ascii="Times New Roman;sans-serif" w:hAnsi="Times New Roman;sans-serif"/>
                  <w:b w:val="false"/>
                  <w:color w:val="000080"/>
                  <w:sz w:val="20"/>
                  <w:u w:val="single"/>
                </w:rPr>
                <w:t>April 30, 2025</w:t>
              </w:r>
            </w:hyperlink>
            <w:hyperlink w:anchor="i73ffbee2525c45f8999288e2b582f981_25">
              <w:r>
                <w:rPr>
                  <w:rStyle w:val="InternetLink"/>
                  <w:rFonts w:ascii="Times New Roman;sans-serif" w:hAnsi="Times New Roman;sans-serif"/>
                  <w:b w:val="false"/>
                  <w:color w:val="000080"/>
                  <w:sz w:val="20"/>
                  <w:u w:val="single"/>
                </w:rPr>
                <w:t xml:space="preserve"> and </w:t>
              </w:r>
            </w:hyperlink>
            <w:hyperlink w:anchor="i73ffbee2525c45f8999288e2b582f981_25">
              <w:r>
                <w:rPr>
                  <w:rStyle w:val="InternetLink"/>
                  <w:rFonts w:ascii="Times New Roman;sans-serif" w:hAnsi="Times New Roman;sans-serif"/>
                  <w:b w:val="false"/>
                  <w:color w:val="000080"/>
                  <w:sz w:val="20"/>
                  <w:u w:val="single"/>
                </w:rPr>
                <w:t>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25">
              <w:r>
                <w:rPr>
                  <w:rStyle w:val="InternetLink"/>
                  <w:rFonts w:ascii="Times New Roman;sans-serif" w:hAnsi="Times New Roman;sans-serif"/>
                  <w:b w:val="false"/>
                  <w:strike w:val="false"/>
                  <w:dstrike w:val="false"/>
                  <w:color w:val="000000"/>
                  <w:sz w:val="20"/>
                  <w:u w:val="none"/>
                  <w:effect w:val="none"/>
                </w:rPr>
                <w:t>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73ffbee2525c45f8999288e2b582f981_28">
              <w:r>
                <w:rPr>
                  <w:rStyle w:val="InternetLink"/>
                  <w:rFonts w:ascii="Times New Roman;sans-serif" w:hAnsi="Times New Roman;sans-serif"/>
                  <w:b w:val="false"/>
                  <w:color w:val="000080"/>
                  <w:sz w:val="20"/>
                  <w:u w:val="single"/>
                </w:rPr>
                <w:t xml:space="preserve">Condensed Consolidated Statements of Comprehensive Income for the </w:t>
              </w:r>
            </w:hyperlink>
            <w:hyperlink w:anchor="i73ffbee2525c45f8999288e2b582f981_28">
              <w:r>
                <w:rPr>
                  <w:rStyle w:val="InternetLink"/>
                  <w:rFonts w:ascii="Times New Roman;sans-serif" w:hAnsi="Times New Roman;sans-serif"/>
                  <w:b w:val="false"/>
                  <w:color w:val="000080"/>
                  <w:sz w:val="20"/>
                  <w:u w:val="single"/>
                </w:rPr>
                <w:t xml:space="preserve">Three </w:t>
              </w:r>
            </w:hyperlink>
            <w:hyperlink w:anchor="i73ffbee2525c45f8999288e2b582f981_28">
              <w:r>
                <w:rPr>
                  <w:rStyle w:val="InternetLink"/>
                  <w:rFonts w:ascii="Times New Roman;sans-serif" w:hAnsi="Times New Roman;sans-serif"/>
                  <w:b w:val="false"/>
                  <w:color w:val="000080"/>
                  <w:sz w:val="20"/>
                  <w:u w:val="single"/>
                </w:rPr>
                <w:t xml:space="preserve">Months Ended </w:t>
              </w:r>
            </w:hyperlink>
            <w:hyperlink w:anchor="i73ffbee2525c45f8999288e2b582f981_28">
              <w:r>
                <w:rPr>
                  <w:rStyle w:val="InternetLink"/>
                  <w:rFonts w:ascii="Times New Roman;sans-serif" w:hAnsi="Times New Roman;sans-serif"/>
                  <w:b w:val="false"/>
                  <w:color w:val="000080"/>
                  <w:sz w:val="20"/>
                  <w:u w:val="single"/>
                </w:rPr>
                <w:t>April 30, 2025</w:t>
              </w:r>
            </w:hyperlink>
            <w:hyperlink w:anchor="i73ffbee2525c45f8999288e2b582f981_28">
              <w:r>
                <w:rPr>
                  <w:rStyle w:val="InternetLink"/>
                  <w:rFonts w:ascii="Times New Roman;sans-serif" w:hAnsi="Times New Roman;sans-serif"/>
                  <w:b w:val="false"/>
                  <w:color w:val="000080"/>
                  <w:sz w:val="20"/>
                  <w:u w:val="single"/>
                </w:rPr>
                <w:t xml:space="preserve"> and </w:t>
              </w:r>
            </w:hyperlink>
            <w:hyperlink w:anchor="i73ffbee2525c45f8999288e2b582f981_28">
              <w:r>
                <w:rPr>
                  <w:rStyle w:val="InternetLink"/>
                  <w:rFonts w:ascii="Times New Roman;sans-serif" w:hAnsi="Times New Roman;sans-serif"/>
                  <w:b w:val="false"/>
                  <w:color w:val="000080"/>
                  <w:sz w:val="20"/>
                  <w:u w:val="single"/>
                </w:rPr>
                <w:t>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28">
              <w:r>
                <w:rPr>
                  <w:rStyle w:val="InternetLink"/>
                  <w:rFonts w:ascii="Times New Roman;sans-serif" w:hAnsi="Times New Roman;sans-serif"/>
                  <w:b w:val="false"/>
                  <w:strike w:val="false"/>
                  <w:dstrike w:val="false"/>
                  <w:color w:val="000000"/>
                  <w:sz w:val="20"/>
                  <w:u w:val="none"/>
                  <w:effect w:val="none"/>
                </w:rPr>
                <w:t>8</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73ffbee2525c45f8999288e2b582f981_31">
              <w:r>
                <w:rPr>
                  <w:rStyle w:val="InternetLink"/>
                  <w:rFonts w:ascii="Times New Roman;sans-serif" w:hAnsi="Times New Roman;sans-serif"/>
                  <w:b w:val="false"/>
                  <w:color w:val="000080"/>
                  <w:sz w:val="20"/>
                  <w:u w:val="single"/>
                </w:rPr>
                <w:t>Condensed Consolidated Statements of Stockholders’ Equity</w:t>
              </w:r>
            </w:hyperlink>
            <w:hyperlink w:anchor="i73ffbee2525c45f8999288e2b582f981_31">
              <w:r>
                <w:rPr>
                  <w:rStyle w:val="InternetLink"/>
                  <w:rFonts w:ascii="Times New Roman;sans-serif" w:hAnsi="Times New Roman;sans-serif"/>
                  <w:b w:val="false"/>
                  <w:color w:val="000080"/>
                  <w:sz w:val="20"/>
                  <w:u w:val="single"/>
                </w:rPr>
                <w:t xml:space="preserve"> </w:t>
              </w:r>
            </w:hyperlink>
            <w:hyperlink w:anchor="i73ffbee2525c45f8999288e2b582f981_31">
              <w:r>
                <w:rPr>
                  <w:rStyle w:val="InternetLink"/>
                  <w:rFonts w:ascii="Times New Roman;sans-serif" w:hAnsi="Times New Roman;sans-serif"/>
                  <w:b w:val="false"/>
                  <w:color w:val="000080"/>
                  <w:sz w:val="20"/>
                  <w:u w:val="single"/>
                </w:rPr>
                <w:t xml:space="preserve">for the </w:t>
              </w:r>
            </w:hyperlink>
            <w:hyperlink w:anchor="i73ffbee2525c45f8999288e2b582f981_31">
              <w:r>
                <w:rPr>
                  <w:rStyle w:val="InternetLink"/>
                  <w:rFonts w:ascii="Times New Roman;sans-serif" w:hAnsi="Times New Roman;sans-serif"/>
                  <w:b w:val="false"/>
                  <w:color w:val="000080"/>
                  <w:sz w:val="20"/>
                  <w:u w:val="single"/>
                </w:rPr>
                <w:t xml:space="preserve">Three </w:t>
              </w:r>
            </w:hyperlink>
            <w:hyperlink w:anchor="i73ffbee2525c45f8999288e2b582f981_31">
              <w:r>
                <w:rPr>
                  <w:rStyle w:val="InternetLink"/>
                  <w:rFonts w:ascii="Times New Roman;sans-serif" w:hAnsi="Times New Roman;sans-serif"/>
                  <w:b w:val="false"/>
                  <w:color w:val="000080"/>
                  <w:sz w:val="20"/>
                  <w:u w:val="single"/>
                </w:rPr>
                <w:t xml:space="preserve">Months Ended </w:t>
              </w:r>
            </w:hyperlink>
            <w:hyperlink w:anchor="i73ffbee2525c45f8999288e2b582f981_31">
              <w:r>
                <w:rPr>
                  <w:rStyle w:val="InternetLink"/>
                  <w:rFonts w:ascii="Times New Roman;sans-serif" w:hAnsi="Times New Roman;sans-serif"/>
                  <w:b w:val="false"/>
                  <w:color w:val="000080"/>
                  <w:sz w:val="20"/>
                  <w:u w:val="single"/>
                </w:rPr>
                <w:t>April 30, 2025</w:t>
              </w:r>
            </w:hyperlink>
            <w:hyperlink w:anchor="i73ffbee2525c45f8999288e2b582f981_31">
              <w:r>
                <w:rPr>
                  <w:rStyle w:val="InternetLink"/>
                  <w:rFonts w:ascii="Times New Roman;sans-serif" w:hAnsi="Times New Roman;sans-serif"/>
                  <w:b w:val="false"/>
                  <w:color w:val="000080"/>
                  <w:sz w:val="20"/>
                  <w:u w:val="single"/>
                </w:rPr>
                <w:t xml:space="preserve"> and </w:t>
              </w:r>
            </w:hyperlink>
            <w:hyperlink w:anchor="i73ffbee2525c45f8999288e2b582f981_31">
              <w:r>
                <w:rPr>
                  <w:rStyle w:val="InternetLink"/>
                  <w:rFonts w:ascii="Times New Roman;sans-serif" w:hAnsi="Times New Roman;sans-serif"/>
                  <w:b w:val="false"/>
                  <w:color w:val="000080"/>
                  <w:sz w:val="20"/>
                  <w:u w:val="single"/>
                </w:rPr>
                <w:t>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31">
              <w:r>
                <w:rPr>
                  <w:rStyle w:val="InternetLink"/>
                  <w:rFonts w:ascii="Times New Roman;sans-serif" w:hAnsi="Times New Roman;sans-serif"/>
                  <w:b w:val="false"/>
                  <w:strike w:val="false"/>
                  <w:dstrike w:val="false"/>
                  <w:color w:val="000000"/>
                  <w:sz w:val="20"/>
                  <w:u w:val="none"/>
                  <w:effect w:val="none"/>
                </w:rPr>
                <w:t>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37">
              <w:r>
                <w:rPr>
                  <w:rStyle w:val="InternetLink"/>
                  <w:rFonts w:ascii="Times New Roman;sans-serif" w:hAnsi="Times New Roman;sans-serif"/>
                  <w:b w:val="false"/>
                  <w:color w:val="000080"/>
                  <w:sz w:val="20"/>
                  <w:u w:val="single"/>
                </w:rPr>
                <w:t xml:space="preserve">Condensed Consolidated Statements of Cash Flows for the </w:t>
              </w:r>
            </w:hyperlink>
            <w:hyperlink w:anchor="i73ffbee2525c45f8999288e2b582f981_37">
              <w:r>
                <w:rPr>
                  <w:rStyle w:val="InternetLink"/>
                  <w:rFonts w:ascii="Times New Roman;sans-serif" w:hAnsi="Times New Roman;sans-serif"/>
                  <w:b w:val="false"/>
                  <w:color w:val="000080"/>
                  <w:sz w:val="20"/>
                  <w:u w:val="single"/>
                </w:rPr>
                <w:t>Three Months Ended</w:t>
              </w:r>
            </w:hyperlink>
            <w:hyperlink w:anchor="i73ffbee2525c45f8999288e2b582f981_37">
              <w:r>
                <w:rPr>
                  <w:rStyle w:val="InternetLink"/>
                  <w:rFonts w:ascii="Times New Roman;sans-serif" w:hAnsi="Times New Roman;sans-serif"/>
                  <w:b w:val="false"/>
                  <w:color w:val="000080"/>
                  <w:sz w:val="20"/>
                  <w:u w:val="single"/>
                </w:rPr>
                <w:t xml:space="preserve"> </w:t>
              </w:r>
            </w:hyperlink>
            <w:hyperlink w:anchor="i73ffbee2525c45f8999288e2b582f981_37">
              <w:r>
                <w:rPr>
                  <w:rStyle w:val="InternetLink"/>
                  <w:rFonts w:ascii="Times New Roman;sans-serif" w:hAnsi="Times New Roman;sans-serif"/>
                  <w:b w:val="false"/>
                  <w:color w:val="000080"/>
                  <w:sz w:val="20"/>
                  <w:u w:val="single"/>
                </w:rPr>
                <w:t>April 30, 2025</w:t>
              </w:r>
            </w:hyperlink>
            <w:hyperlink w:anchor="i73ffbee2525c45f8999288e2b582f981_37">
              <w:r>
                <w:rPr>
                  <w:rStyle w:val="InternetLink"/>
                  <w:rFonts w:ascii="Times New Roman;sans-serif" w:hAnsi="Times New Roman;sans-serif"/>
                  <w:b w:val="false"/>
                  <w:color w:val="000080"/>
                  <w:sz w:val="20"/>
                  <w:u w:val="single"/>
                </w:rPr>
                <w:t xml:space="preserve"> and </w:t>
              </w:r>
            </w:hyperlink>
            <w:hyperlink w:anchor="i73ffbee2525c45f8999288e2b582f981_37">
              <w:r>
                <w:rPr>
                  <w:rStyle w:val="InternetLink"/>
                  <w:rFonts w:ascii="Times New Roman;sans-serif" w:hAnsi="Times New Roman;sans-serif"/>
                  <w:b w:val="false"/>
                  <w:color w:val="000080"/>
                  <w:sz w:val="20"/>
                  <w:u w:val="single"/>
                </w:rPr>
                <w:t>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37">
              <w:r>
                <w:rPr>
                  <w:rStyle w:val="InternetLink"/>
                  <w:rFonts w:ascii="Times New Roman;sans-serif" w:hAnsi="Times New Roman;sans-serif"/>
                  <w:b w:val="false"/>
                  <w:strike w:val="false"/>
                  <w:dstrike w:val="false"/>
                  <w:color w:val="000000"/>
                  <w:sz w:val="20"/>
                  <w:u w:val="none"/>
                  <w:effect w:val="none"/>
                </w:rPr>
                <w:t>10</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40">
              <w:r>
                <w:rPr>
                  <w:rStyle w:val="InternetLink"/>
                  <w:rFonts w:ascii="Times New Roman;sans-serif" w:hAnsi="Times New Roman;sans-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40">
              <w:r>
                <w:rPr>
                  <w:rStyle w:val="InternetLink"/>
                  <w:rFonts w:ascii="Times New Roman;sans-serif" w:hAnsi="Times New Roman;sans-serif"/>
                  <w:b w:val="false"/>
                  <w:strike w:val="false"/>
                  <w:dstrike w:val="false"/>
                  <w:color w:val="000000"/>
                  <w:sz w:val="20"/>
                  <w:u w:val="none"/>
                  <w:effect w:val="none"/>
                </w:rPr>
                <w:t>11</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97">
              <w:r>
                <w:rPr>
                  <w:rStyle w:val="InternetLink"/>
                  <w:rFonts w:ascii="Times New Roman;sans-serif" w:hAnsi="Times New Roman;sans-serif"/>
                  <w:b w:val="false"/>
                  <w:strike w:val="false"/>
                  <w:dstrike w:val="false"/>
                  <w:color w:val="000000"/>
                  <w:sz w:val="20"/>
                  <w:u w:val="none"/>
                  <w:effect w:val="none"/>
                </w:rPr>
                <w:t>Item 2.</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9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97">
              <w:r>
                <w:rPr>
                  <w:rStyle w:val="InternetLink"/>
                  <w:rFonts w:ascii="Times New Roman;sans-serif" w:hAnsi="Times New Roman;sans-serif"/>
                  <w:b w:val="false"/>
                  <w:strike w:val="false"/>
                  <w:dstrike w:val="false"/>
                  <w:color w:val="000000"/>
                  <w:sz w:val="20"/>
                  <w:u w:val="none"/>
                  <w:effect w:val="none"/>
                </w:rPr>
                <w:t>23</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39">
              <w:r>
                <w:rPr>
                  <w:rStyle w:val="InternetLink"/>
                  <w:rFonts w:ascii="Times New Roman;sans-serif" w:hAnsi="Times New Roman;sans-serif"/>
                  <w:b w:val="false"/>
                  <w:strike w:val="false"/>
                  <w:dstrike w:val="false"/>
                  <w:color w:val="000000"/>
                  <w:sz w:val="20"/>
                  <w:u w:val="none"/>
                  <w:effect w:val="none"/>
                </w:rPr>
                <w:t>Item 3.</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39">
              <w:r>
                <w:rPr>
                  <w:rStyle w:val="InternetLink"/>
                  <w:rFonts w:ascii="Times New Roman;sans-serif" w:hAnsi="Times New Roman;sans-serif"/>
                  <w:b w:val="false"/>
                  <w:color w:val="0000FF"/>
                  <w:sz w:val="20"/>
                  <w:u w:val="singl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39">
              <w:r>
                <w:rPr>
                  <w:rStyle w:val="InternetLink"/>
                  <w:rFonts w:ascii="Times New Roman;sans-serif" w:hAnsi="Times New Roman;sans-serif"/>
                  <w:b w:val="false"/>
                  <w:strike w:val="false"/>
                  <w:dstrike w:val="false"/>
                  <w:color w:val="000000"/>
                  <w:sz w:val="20"/>
                  <w:u w:val="none"/>
                  <w:effect w:val="none"/>
                </w:rPr>
                <w:t>32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42">
              <w:r>
                <w:rPr>
                  <w:rStyle w:val="InternetLink"/>
                  <w:rFonts w:ascii="Times New Roman;sans-serif" w:hAnsi="Times New Roman;sans-serif"/>
                  <w:b w:val="false"/>
                  <w:strike w:val="false"/>
                  <w:dstrike w:val="false"/>
                  <w:color w:val="000000"/>
                  <w:sz w:val="20"/>
                  <w:u w:val="none"/>
                  <w:effect w:val="none"/>
                </w:rPr>
                <w:t>Item 4.</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42">
              <w:r>
                <w:rPr>
                  <w:rStyle w:val="InternetLink"/>
                  <w:rFonts w:ascii="Times New Roman;sans-serif" w:hAnsi="Times New Roman;sans-serif"/>
                  <w:b w:val="false"/>
                  <w:color w:val="0000FF"/>
                  <w:sz w:val="20"/>
                  <w:u w:val="singl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42">
              <w:r>
                <w:rPr>
                  <w:rStyle w:val="InternetLink"/>
                  <w:rFonts w:ascii="Times New Roman;sans-serif" w:hAnsi="Times New Roman;sans-serif"/>
                  <w:b w:val="false"/>
                  <w:strike w:val="false"/>
                  <w:dstrike w:val="false"/>
                  <w:color w:val="000000"/>
                  <w:sz w:val="20"/>
                  <w:u w:val="none"/>
                  <w:effect w:val="none"/>
                </w:rPr>
                <w:t>33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45">
              <w:r>
                <w:rPr>
                  <w:rStyle w:val="InternetLink"/>
                  <w:rFonts w:ascii="Times New Roman;sans-serif" w:hAnsi="Times New Roman;sans-serif"/>
                  <w:b w:val="false"/>
                  <w:color w:val="0000FF"/>
                  <w:sz w:val="20"/>
                  <w:u w:val="single"/>
                </w:rPr>
                <w:t>PART II –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45">
              <w:r>
                <w:rPr>
                  <w:rStyle w:val="InternetLink"/>
                  <w:rFonts w:ascii="Times New Roman;sans-serif" w:hAnsi="Times New Roman;sans-serif"/>
                  <w:b w:val="false"/>
                  <w:strike w:val="false"/>
                  <w:dstrike w:val="false"/>
                  <w:color w:val="000000"/>
                  <w:sz w:val="20"/>
                  <w:u w:val="none"/>
                  <w:effect w:val="none"/>
                </w:rPr>
                <w:t>34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48">
              <w:r>
                <w:rPr>
                  <w:rStyle w:val="InternetLink"/>
                  <w:rFonts w:ascii="Times New Roman;sans-serif" w:hAnsi="Times New Roman;sans-serif"/>
                  <w:b w:val="false"/>
                  <w:strike w:val="false"/>
                  <w:dstrike w:val="false"/>
                  <w:color w:val="000000"/>
                  <w:sz w:val="20"/>
                  <w:u w:val="none"/>
                  <w:effect w:val="none"/>
                </w:rPr>
                <w:t>Item 1.</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48">
              <w:r>
                <w:rPr>
                  <w:rStyle w:val="InternetLink"/>
                  <w:rFonts w:ascii="Times New Roman;sans-serif" w:hAnsi="Times New Roman;sans-serif"/>
                  <w:b w:val="false"/>
                  <w:color w:val="0000FF"/>
                  <w:sz w:val="20"/>
                  <w:u w:val="singl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48">
              <w:r>
                <w:rPr>
                  <w:rStyle w:val="InternetLink"/>
                  <w:rFonts w:ascii="Times New Roman;sans-serif" w:hAnsi="Times New Roman;sans-serif"/>
                  <w:b w:val="false"/>
                  <w:strike w:val="false"/>
                  <w:dstrike w:val="false"/>
                  <w:color w:val="000000"/>
                  <w:sz w:val="20"/>
                  <w:u w:val="none"/>
                  <w:effect w:val="none"/>
                </w:rPr>
                <w:t>34</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51">
              <w:r>
                <w:rPr>
                  <w:rStyle w:val="InternetLink"/>
                  <w:rFonts w:ascii="Times New Roman;sans-serif" w:hAnsi="Times New Roman;sans-serif"/>
                  <w:b w:val="false"/>
                  <w:strike w:val="false"/>
                  <w:dstrike w:val="false"/>
                  <w:color w:val="000000"/>
                  <w:sz w:val="20"/>
                  <w:u w:val="none"/>
                  <w:effect w:val="none"/>
                </w:rPr>
                <w:t>Item 1A</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51">
              <w:r>
                <w:rPr>
                  <w:rStyle w:val="InternetLink"/>
                  <w:rFonts w:ascii="Times New Roman;sans-serif" w:hAnsi="Times New Roman;sans-serif"/>
                  <w:b w:val="false"/>
                  <w:color w:val="0000FF"/>
                  <w:sz w:val="20"/>
                  <w:u w:val="singl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51">
              <w:r>
                <w:rPr>
                  <w:rStyle w:val="InternetLink"/>
                  <w:rFonts w:ascii="Times New Roman;sans-serif" w:hAnsi="Times New Roman;sans-serif"/>
                  <w:b w:val="false"/>
                  <w:strike w:val="false"/>
                  <w:dstrike w:val="false"/>
                  <w:color w:val="000000"/>
                  <w:sz w:val="20"/>
                  <w:u w:val="none"/>
                  <w:effect w:val="none"/>
                </w:rPr>
                <w:t>34</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54">
              <w:r>
                <w:rPr>
                  <w:rStyle w:val="InternetLink"/>
                  <w:rFonts w:ascii="Times New Roman;sans-serif" w:hAnsi="Times New Roman;sans-serif"/>
                  <w:b w:val="false"/>
                  <w:strike w:val="false"/>
                  <w:dstrike w:val="false"/>
                  <w:color w:val="000000"/>
                  <w:sz w:val="20"/>
                  <w:u w:val="none"/>
                  <w:effect w:val="none"/>
                </w:rPr>
                <w:t>Item 2.</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54">
              <w:r>
                <w:rPr>
                  <w:rStyle w:val="InternetLink"/>
                  <w:rFonts w:ascii="Times New Roman;sans-serif" w:hAnsi="Times New Roman;sans-serif"/>
                  <w:b w:val="false"/>
                  <w:color w:val="0000FF"/>
                  <w:sz w:val="20"/>
                  <w:u w:val="single"/>
                </w:rPr>
                <w:t>Unregistered Sales of Equity Securities and Use of Proceeds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54">
              <w:r>
                <w:rPr>
                  <w:rStyle w:val="InternetLink"/>
                  <w:rFonts w:ascii="Times New Roman;sans-serif" w:hAnsi="Times New Roman;sans-serif"/>
                  <w:b w:val="false"/>
                  <w:strike w:val="false"/>
                  <w:dstrike w:val="false"/>
                  <w:color w:val="000000"/>
                  <w:sz w:val="20"/>
                  <w:u w:val="none"/>
                  <w:effect w:val="none"/>
                </w:rPr>
                <w:t>69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57">
              <w:r>
                <w:rPr>
                  <w:rStyle w:val="InternetLink"/>
                  <w:rFonts w:ascii="Times New Roman;sans-serif" w:hAnsi="Times New Roman;sans-serif"/>
                  <w:b w:val="false"/>
                  <w:strike w:val="false"/>
                  <w:dstrike w:val="false"/>
                  <w:color w:val="000000"/>
                  <w:sz w:val="20"/>
                  <w:u w:val="none"/>
                  <w:effect w:val="none"/>
                </w:rPr>
                <w:t>Item 3.</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57">
              <w:r>
                <w:rPr>
                  <w:rStyle w:val="InternetLink"/>
                  <w:rFonts w:ascii="Times New Roman;sans-serif" w:hAnsi="Times New Roman;sans-serif"/>
                  <w:b w:val="false"/>
                  <w:color w:val="0000FF"/>
                  <w:sz w:val="20"/>
                  <w:u w:val="single"/>
                </w:rPr>
                <w:t>Defaults Upon Senior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57">
              <w:r>
                <w:rPr>
                  <w:rStyle w:val="InternetLink"/>
                  <w:rFonts w:ascii="Times New Roman;sans-serif" w:hAnsi="Times New Roman;sans-serif"/>
                  <w:b w:val="false"/>
                  <w:strike w:val="false"/>
                  <w:dstrike w:val="false"/>
                  <w:color w:val="000000"/>
                  <w:sz w:val="20"/>
                  <w:u w:val="none"/>
                  <w:effect w:val="none"/>
                </w:rPr>
                <w:t>69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60">
              <w:r>
                <w:rPr>
                  <w:rStyle w:val="InternetLink"/>
                  <w:rFonts w:ascii="Times New Roman;sans-serif" w:hAnsi="Times New Roman;sans-serif"/>
                  <w:b w:val="false"/>
                  <w:strike w:val="false"/>
                  <w:dstrike w:val="false"/>
                  <w:color w:val="000000"/>
                  <w:sz w:val="20"/>
                  <w:u w:val="none"/>
                  <w:effect w:val="none"/>
                </w:rPr>
                <w:t>Item 4.</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60">
              <w:r>
                <w:rPr>
                  <w:rStyle w:val="InternetLink"/>
                  <w:rFonts w:ascii="Times New Roman;sans-serif" w:hAnsi="Times New Roman;sans-serif"/>
                  <w:b w:val="false"/>
                  <w:color w:val="0000FF"/>
                  <w:sz w:val="20"/>
                  <w:u w:val="singl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60">
              <w:r>
                <w:rPr>
                  <w:rStyle w:val="InternetLink"/>
                  <w:rFonts w:ascii="Times New Roman;sans-serif" w:hAnsi="Times New Roman;sans-serif"/>
                  <w:b w:val="false"/>
                  <w:strike w:val="false"/>
                  <w:dstrike w:val="false"/>
                  <w:color w:val="000000"/>
                  <w:sz w:val="20"/>
                  <w:u w:val="none"/>
                  <w:effect w:val="none"/>
                </w:rPr>
                <w:t>69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63">
              <w:r>
                <w:rPr>
                  <w:rStyle w:val="InternetLink"/>
                  <w:rFonts w:ascii="Times New Roman;sans-serif" w:hAnsi="Times New Roman;sans-serif"/>
                  <w:b w:val="false"/>
                  <w:strike w:val="false"/>
                  <w:dstrike w:val="false"/>
                  <w:color w:val="000000"/>
                  <w:sz w:val="20"/>
                  <w:u w:val="none"/>
                  <w:effect w:val="none"/>
                </w:rPr>
                <w:t>Item 5.</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63">
              <w:r>
                <w:rPr>
                  <w:rStyle w:val="InternetLink"/>
                  <w:rFonts w:ascii="Times New Roman;sans-serif" w:hAnsi="Times New Roman;sans-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63">
              <w:r>
                <w:rPr>
                  <w:rStyle w:val="InternetLink"/>
                  <w:rFonts w:ascii="Times New Roman;sans-serif" w:hAnsi="Times New Roman;sans-serif"/>
                  <w:b w:val="false"/>
                  <w:strike w:val="false"/>
                  <w:dstrike w:val="false"/>
                  <w:color w:val="000000"/>
                  <w:sz w:val="20"/>
                  <w:u w:val="none"/>
                  <w:effect w:val="none"/>
                </w:rPr>
                <w:t>69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69">
              <w:r>
                <w:rPr>
                  <w:rStyle w:val="InternetLink"/>
                  <w:rFonts w:ascii="Times New Roman;sans-serif" w:hAnsi="Times New Roman;sans-serif"/>
                  <w:b w:val="false"/>
                  <w:strike w:val="false"/>
                  <w:dstrike w:val="false"/>
                  <w:color w:val="000000"/>
                  <w:sz w:val="20"/>
                  <w:u w:val="none"/>
                  <w:effect w:val="none"/>
                </w:rPr>
                <w:t>Item 6.</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69">
              <w:r>
                <w:rPr>
                  <w:rStyle w:val="InternetLink"/>
                  <w:rFonts w:ascii="Times New Roman;sans-serif" w:hAnsi="Times New Roman;sans-serif"/>
                  <w:b w:val="false"/>
                  <w:color w:val="0000FF"/>
                  <w:sz w:val="20"/>
                  <w:u w:val="single"/>
                </w:rPr>
                <w:t>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69">
              <w:r>
                <w:rPr>
                  <w:rStyle w:val="InternetLink"/>
                  <w:rFonts w:ascii="Times New Roman;sans-serif" w:hAnsi="Times New Roman;sans-serif"/>
                  <w:b w:val="false"/>
                  <w:strike w:val="false"/>
                  <w:dstrike w:val="false"/>
                  <w:color w:val="000000"/>
                  <w:sz w:val="20"/>
                  <w:u w:val="none"/>
                  <w:effect w:val="none"/>
                </w:rPr>
                <w:t>71</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ffbee2525c45f8999288e2b582f981_175">
              <w:r>
                <w:rPr>
                  <w:rStyle w:val="InternetLink"/>
                  <w:rFonts w:ascii="Times New Roman;sans-serif" w:hAnsi="Times New Roman;sans-serif"/>
                  <w:b w:val="false"/>
                  <w:color w:val="0000FF"/>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ffbee2525c45f8999288e2b582f981_175">
              <w:r>
                <w:rPr>
                  <w:rStyle w:val="InternetLink"/>
                  <w:rFonts w:ascii="Times New Roman;sans-serif" w:hAnsi="Times New Roman;sans-serif"/>
                  <w:b w:val="false"/>
                  <w:strike w:val="false"/>
                  <w:dstrike w:val="false"/>
                  <w:color w:val="000000"/>
                  <w:sz w:val="20"/>
                  <w:u w:val="none"/>
                  <w:effect w:val="none"/>
                </w:rPr>
                <w:t>72</w:t>
              </w:r>
            </w:hyperlink>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suggests otherwise, references in this Quarterly Report on Form 10-Q to “Zoom,” the “Company,” “we,” “us” and “our” refer to Zoom Communications, Inc. and, where appropriate,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97205"/>
                <wp:effectExtent l="0" t="0" r="0" b="0"/>
                <wp:wrapNone/>
                <wp:docPr id="2" name="Frame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and evolving AI capabilities; our product strategy; our efforts to enhance the security and privacy of our platform; our ability to operate our business and effectively manage our scale under evolving macroeconomic conditions, such as geopolitical conflicts, tariffs and trade tensions, inflationary pressures, interest rate fluctuations, and foreign currency exchange rate volatility; our ability to become the ubiquitous platform for communications and collaboration; our ability to attract new customers and retain existing customers; our ability to successfully expand in our existing markets and into new markets; our ability to effectively manage our growth and future expenses; and the impact of recent accounting pronouncements on our unaudited condensed consolidated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205"/>
                <wp:effectExtent l="0" t="0" r="0" b="0"/>
                <wp:wrapNone/>
                <wp:docPr id="3" name="Frame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depends on our ability to attract new customers, retain and upsell additional products and new product categories to existing customers, and upgrade free users to one of our paid offerings. Any decline in new customers, renewals, or upgrades would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revenue growth rate has fluctuated in prior periods, and may continue to decline in future periods.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Interruptions, delays, or outages in service from our co-located data centers or cloud hosting services and a variety of other factors, would impair, and in the past have impaired, the delivery of our services, require us to issue credits or pay penalties, and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customer and partner relationships; more third-party integrations; greater accessibility across devices and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may be significantly affected by changes in the economy, including any resulting effect on consumer or business spending.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As we increase sales to large organizations, our sales cycles have and could continue to lengthen, and we could experience greater deployment challenges.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generate revenue from sales of subscriptions to our platform, and any decline in demand for our platform or for communications and collaboration technologies in general would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incurred net losses in the past and there are no assurances we will be able to maintain or increase profitability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not be able to respond to rapid technological changes, extend our platform or develop new features.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security measures, and those of the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us incurring significant liabilities, and our business being harmed.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a limited operating history at the current scale of our business, which makes it difficult to evaluate our prospects and future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actual or perceived failure by us, our customers, partners, or vendors to comply with stringent and evolving laws and regulations, industry standards, policies, and contractual obligations relating to privacy, data protection, information security laws, and other matters could harm, and has in the past harmed, our reputation and business or subject us to significant fines and liability.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were to lose the services of our Chief Executive Officer or other members of our senior management team, we may not be able to execute our business strategy.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significant and expanding operations outside the United States, which may subject us to increased business, regulatory, and economic risks that could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205"/>
                <wp:effectExtent l="0" t="0" r="0" b="0"/>
                <wp:wrapNone/>
                <wp:docPr id="4" name="Frame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number of our products, including Zoom Phone, are subject to U.S. federal and international regulation, and other products we may introduce in the future may also be subject to U.S. federal, state, or international laws, rules, and regulations. Failure to comply with such laws, rules, and regulations could harm our business and expose us to liability.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use generative artificial intelligence (“AI”) in our products and services, which may result in operational challenges, legal liability, reputational concerns, competitive risks and regulatory concerns that could adversely affect our business and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adequately address these and other risks we face, our business may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205"/>
                <wp:effectExtent l="0" t="0" r="0" b="0"/>
                <wp:wrapNone/>
                <wp:docPr id="5" name="Frame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52"/>
        <w:gridCol w:w="2243"/>
        <w:gridCol w:w="2204"/>
        <w:gridCol w:w="196"/>
        <w:gridCol w:w="961"/>
        <w:gridCol w:w="109"/>
        <w:gridCol w:w="109"/>
        <w:gridCol w:w="109"/>
        <w:gridCol w:w="109"/>
        <w:gridCol w:w="196"/>
        <w:gridCol w:w="961"/>
        <w:gridCol w:w="156"/>
      </w:tblGrid>
      <w:tr>
        <w:trPr/>
        <w:tc>
          <w:tcPr>
            <w:tcW w:w="2852"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br/>
              <w:t>2025</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1,349,380 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6,442,329 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$23,412 and $22,078 as of April 30, 2025 and January 31, 2025,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495,228 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8,666,777 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8,675,974 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10,951,896 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10,988,421 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558,562 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1,903,294 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2,053,337 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6)</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per share, 2,000,000,000 Class A shares authorized as of April 30, 2025 and January 31, 2025; 261,109,338 and 263,113,866 shares issued and outstanding as of April 30, 2025 and January 31, 2025, respectively; 300,000,000 Class B shares authorized as of April 30, 2025 and January 31, 2025; 42,269,988 and 42,626,998 shares issued and outstanding as of April 30, 2025 and January 31, 2025,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5,130,271 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3,799,518 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8,902,368 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8,935,084 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10,951,896 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10,988,421 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205"/>
                <wp:effectExtent l="0" t="0" r="0" b="0"/>
                <wp:wrapNone/>
                <wp:docPr id="6" name="Frame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ZOOM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875" w:type="dxa"/>
        <w:jc w:val="center"/>
        <w:tblInd w:w="0" w:type="dxa"/>
        <w:tblLayout w:type="fixed"/>
        <w:tblCellMar>
          <w:top w:w="28" w:type="dxa"/>
          <w:left w:w="28" w:type="dxa"/>
          <w:bottom w:w="28" w:type="dxa"/>
          <w:right w:w="28" w:type="dxa"/>
        </w:tblCellMar>
      </w:tblPr>
      <w:tblGrid>
        <w:gridCol w:w="1980"/>
        <w:gridCol w:w="1745"/>
        <w:gridCol w:w="1750"/>
        <w:gridCol w:w="211"/>
        <w:gridCol w:w="976"/>
        <w:gridCol w:w="109"/>
        <w:gridCol w:w="109"/>
        <w:gridCol w:w="109"/>
        <w:gridCol w:w="109"/>
        <w:gridCol w:w="211"/>
        <w:gridCol w:w="976"/>
        <w:gridCol w:w="109"/>
        <w:gridCol w:w="109"/>
        <w:gridCol w:w="109"/>
        <w:gridCol w:w="109"/>
        <w:gridCol w:w="154"/>
      </w:tblGrid>
      <w:tr>
        <w:trPr/>
        <w:tc>
          <w:tcPr>
            <w:tcW w:w="198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strategic investments,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304,908,652 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308,700,582 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312,783,861 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315,360,678 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205"/>
                <wp:effectExtent l="0" t="0" r="0" b="0"/>
                <wp:wrapNone/>
                <wp:docPr id="7" name="Frame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41"/>
        <w:gridCol w:w="2221"/>
        <w:gridCol w:w="2242"/>
        <w:gridCol w:w="211"/>
        <w:gridCol w:w="826"/>
        <w:gridCol w:w="109"/>
        <w:gridCol w:w="109"/>
        <w:gridCol w:w="109"/>
        <w:gridCol w:w="109"/>
        <w:gridCol w:w="211"/>
        <w:gridCol w:w="826"/>
        <w:gridCol w:w="109"/>
        <w:gridCol w:w="109"/>
        <w:gridCol w:w="109"/>
        <w:gridCol w:w="109"/>
        <w:gridCol w:w="155"/>
      </w:tblGrid>
      <w:tr>
        <w:trPr/>
        <w:tc>
          <w:tcPr>
            <w:tcW w:w="264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marketable securities, net of income tax (expense) benefit of $(3,123) and $5,692 for the three months ended April 30, 2025 and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205"/>
                <wp:effectExtent l="0" t="0" r="0" b="0"/>
                <wp:wrapNone/>
                <wp:docPr id="8" name="Frame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605" w:type="dxa"/>
        <w:jc w:val="center"/>
        <w:tblInd w:w="0" w:type="dxa"/>
        <w:tblLayout w:type="fixed"/>
        <w:tblCellMar>
          <w:top w:w="28" w:type="dxa"/>
          <w:left w:w="28" w:type="dxa"/>
          <w:bottom w:w="28" w:type="dxa"/>
          <w:right w:w="28" w:type="dxa"/>
        </w:tblCellMar>
      </w:tblPr>
      <w:tblGrid>
        <w:gridCol w:w="749"/>
        <w:gridCol w:w="210"/>
        <w:gridCol w:w="212"/>
        <w:gridCol w:w="109"/>
        <w:gridCol w:w="109"/>
        <w:gridCol w:w="109"/>
        <w:gridCol w:w="153"/>
        <w:gridCol w:w="153"/>
        <w:gridCol w:w="588"/>
        <w:gridCol w:w="463"/>
        <w:gridCol w:w="154"/>
        <w:gridCol w:w="109"/>
        <w:gridCol w:w="109"/>
        <w:gridCol w:w="109"/>
        <w:gridCol w:w="235"/>
        <w:gridCol w:w="505"/>
        <w:gridCol w:w="131"/>
        <w:gridCol w:w="109"/>
        <w:gridCol w:w="109"/>
        <w:gridCol w:w="109"/>
        <w:gridCol w:w="202"/>
        <w:gridCol w:w="900"/>
        <w:gridCol w:w="114"/>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09"/>
        <w:gridCol w:w="109"/>
        <w:gridCol w:w="109"/>
        <w:gridCol w:w="109"/>
        <w:gridCol w:w="109"/>
        <w:gridCol w:w="109"/>
        <w:gridCol w:w="109"/>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January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305,740,864 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5,130,271 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3,799,518 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8,935,084 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(5,561,920)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(419,900)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April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303,379,326 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4,832,800 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4,054,121 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8,902,368 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1003" w:type="dxa"/>
        <w:jc w:val="left"/>
        <w:tblInd w:w="0" w:type="dxa"/>
        <w:tblLayout w:type="fixed"/>
        <w:tblCellMar>
          <w:top w:w="28" w:type="dxa"/>
          <w:left w:w="28" w:type="dxa"/>
          <w:bottom w:w="28" w:type="dxa"/>
          <w:right w:w="28" w:type="dxa"/>
        </w:tblCellMar>
      </w:tblPr>
      <w:tblGrid>
        <w:gridCol w:w="749"/>
        <w:gridCol w:w="210"/>
        <w:gridCol w:w="212"/>
        <w:gridCol w:w="109"/>
        <w:gridCol w:w="109"/>
        <w:gridCol w:w="109"/>
        <w:gridCol w:w="153"/>
        <w:gridCol w:w="153"/>
        <w:gridCol w:w="588"/>
        <w:gridCol w:w="463"/>
        <w:gridCol w:w="154"/>
        <w:gridCol w:w="109"/>
        <w:gridCol w:w="109"/>
        <w:gridCol w:w="109"/>
        <w:gridCol w:w="235"/>
        <w:gridCol w:w="505"/>
        <w:gridCol w:w="131"/>
        <w:gridCol w:w="230"/>
        <w:gridCol w:w="230"/>
        <w:gridCol w:w="231"/>
        <w:gridCol w:w="202"/>
        <w:gridCol w:w="900"/>
        <w:gridCol w:w="114"/>
        <w:gridCol w:w="109"/>
        <w:gridCol w:w="109"/>
        <w:gridCol w:w="109"/>
        <w:gridCol w:w="196"/>
        <w:gridCol w:w="661"/>
        <w:gridCol w:w="109"/>
        <w:gridCol w:w="109"/>
        <w:gridCol w:w="109"/>
        <w:gridCol w:w="109"/>
        <w:gridCol w:w="196"/>
        <w:gridCol w:w="871"/>
        <w:gridCol w:w="109"/>
        <w:gridCol w:w="109"/>
        <w:gridCol w:w="109"/>
        <w:gridCol w:w="109"/>
        <w:gridCol w:w="196"/>
        <w:gridCol w:w="871"/>
        <w:gridCol w:w="109"/>
        <w:gridCol w:w="109"/>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60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January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307,558,353 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5,228,756 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2,789,280 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8,019,406 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(150,046)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April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309,268,684 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5,310,417 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8,298,824 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205"/>
                <wp:effectExtent l="0" t="0" r="0" b="0"/>
                <wp:wrapNone/>
                <wp:docPr id="9" name="Frame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16"/>
        <w:gridCol w:w="2328"/>
        <w:gridCol w:w="2336"/>
        <w:gridCol w:w="196"/>
        <w:gridCol w:w="871"/>
        <w:gridCol w:w="109"/>
        <w:gridCol w:w="109"/>
        <w:gridCol w:w="109"/>
        <w:gridCol w:w="109"/>
        <w:gridCol w:w="196"/>
        <w:gridCol w:w="871"/>
        <w:gridCol w:w="155"/>
      </w:tblGrid>
      <w:tr>
        <w:trPr/>
        <w:tc>
          <w:tcPr>
            <w:tcW w:w="2816"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Losses (gains) on strategic investments,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accounts receivable allowances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exchange (gains)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discount/premium on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588,191 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(867,911)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776,941 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strategic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strategic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(107,824)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equity transactions to be remitted to employees and tax authorities,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repurchases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equity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(142,451)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increase in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331,064 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1,896,444 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within the condensed consolidated balance sheets to the amounts shown in the condensed consolidated statements of cash flows above: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1,885,603 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current included in 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noncurrent included in other assets,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1,896,444 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205"/>
                <wp:effectExtent l="0" t="0" r="0" b="0"/>
                <wp:wrapNone/>
                <wp:docPr id="10" name="Frame1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1.</w:t>
      </w:r>
      <w:r>
        <w:rPr>
          <w:rFonts w:ascii="Times New Roman;sans-serif" w:hAnsi="Times New Roman;sans-serif"/>
          <w:b/>
          <w:color w:val="000000"/>
          <w:sz w:val="20"/>
        </w:rPr>
        <w:t>Summary of Business and Significant Accounting Policies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provides an AI-first open work platform for human connection. Our platform is designed to enable seamless communication and collaboration through a suite of products that includes Zoom Meetings, Zoom Phone, Zoom Team Chat, Zoom Docs, and more, all with AI at its core to improve productivity, collaboration, and business outcomes. We were incorporated in the state of Delaware in April 2011, and are headquartered in San Jose, California.</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ends on January 31. References to fiscal year 2026, for example, refer to the fiscal year ending January 31, 2026.</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Communications, Inc., its subsidiaries, and variable interest entities for which we are the primary beneficiary. All intercompany balances and transactions have been eliminated in consolidation.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January 31, 2025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fairly present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should be read in conjunction with the audited consolidated financial statements and notes included in our Annual Report on Form 10-K for the year ended January 31, 2025, filed with the SEC on February 28, 2025.</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stock-based compensation expense, the fair value of marketable securities, acquired intangible assets and goodwill, the valuation of deferred income tax assets and uncertain tax positions, and accruals and contingencies. Actual results could materially differ from those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discussed in Note 1. “Summary of Business and Significant Accounting Policies” in the notes to consolidated financial statements included in our Annual Report on Form 10-K for the year ended January 31, 2025, filed with the SEC on February 28, 2025. There have been no significant changes to these policies during the three months ended April 30, 2025.</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aims to improve the transparency of income tax disclosures by requiring consistent categories and greater disaggregation of information in the rate reconciliation and income taxes paid disaggregated by jurisdiction. ASU 2023-09 is effective for fiscal years beginning after December 15, 2024 and early adoption is permitted. We are currently evaluating the impact of the adoption of this ASU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205"/>
                <wp:effectExtent l="0" t="0" r="0" b="0"/>
                <wp:wrapNone/>
                <wp:docPr id="11" name="Frame1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November 2024, the FASB issued ASU No. 2024-03, </w:t>
      </w:r>
      <w:r>
        <w:rPr>
          <w:rFonts w:ascii="Times New Roman;sans-serif" w:hAnsi="Times New Roman;sans-serif"/>
          <w:b w:val="false"/>
          <w:i/>
          <w:color w:val="000000"/>
          <w:sz w:val="20"/>
        </w:rPr>
        <w:t>Income Statement—Reporting Comprehensive Income—Expense Disaggregation Disclosures (Subtopic 220-40): Disaggregation of Income Statement Expenses</w:t>
      </w:r>
      <w:r>
        <w:rPr>
          <w:rFonts w:ascii="Times New Roman;sans-serif" w:hAnsi="Times New Roman;sans-serif"/>
          <w:b w:val="false"/>
          <w:color w:val="000000"/>
          <w:sz w:val="20"/>
        </w:rPr>
        <w:t>, which aims to improve financial reporting by requiring additional disclosure about specific expense categories in the notes to financial statements at interim and annual reporting periods. ASU 2024-03 is effective for fiscal years beginning after December 15, 2026 and interim periods within fiscal years beginning after December 15, 2027. Early adoption is permitted. We are currently evaluating the impact of the adoption of this ASU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revenue by region based on the billing address of customers:</w:t>
      </w:r>
    </w:p>
    <w:tbl>
      <w:tblPr>
        <w:tblW w:w="10205" w:type="dxa"/>
        <w:jc w:val="left"/>
        <w:tblInd w:w="0" w:type="dxa"/>
        <w:tblLayout w:type="fixed"/>
        <w:tblCellMar>
          <w:top w:w="28" w:type="dxa"/>
          <w:left w:w="28" w:type="dxa"/>
          <w:bottom w:w="28" w:type="dxa"/>
          <w:right w:w="28" w:type="dxa"/>
        </w:tblCellMar>
      </w:tblPr>
      <w:tblGrid>
        <w:gridCol w:w="1185"/>
        <w:gridCol w:w="1041"/>
        <w:gridCol w:w="1049"/>
        <w:gridCol w:w="211"/>
        <w:gridCol w:w="976"/>
        <w:gridCol w:w="109"/>
        <w:gridCol w:w="109"/>
        <w:gridCol w:w="109"/>
        <w:gridCol w:w="109"/>
        <w:gridCol w:w="307"/>
        <w:gridCol w:w="309"/>
        <w:gridCol w:w="602"/>
        <w:gridCol w:w="109"/>
        <w:gridCol w:w="109"/>
        <w:gridCol w:w="109"/>
        <w:gridCol w:w="211"/>
        <w:gridCol w:w="976"/>
        <w:gridCol w:w="109"/>
        <w:gridCol w:w="109"/>
        <w:gridCol w:w="109"/>
        <w:gridCol w:w="109"/>
        <w:gridCol w:w="307"/>
        <w:gridCol w:w="309"/>
        <w:gridCol w:w="602"/>
        <w:gridCol w:w="109"/>
        <w:gridCol w:w="109"/>
        <w:gridCol w:w="109"/>
        <w:gridCol w:w="109"/>
        <w:gridCol w:w="109"/>
        <w:gridCol w:w="109"/>
        <w:gridCol w:w="109"/>
        <w:gridCol w:w="158"/>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3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3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921" w:type="dxa"/>
            <w:gridSpan w:val="8"/>
            <w:tcBorders/>
          </w:tcPr>
          <w:p>
            <w:pPr>
              <w:pStyle w:val="TableContents"/>
              <w:bidi w:val="0"/>
              <w:spacing w:before="0" w:after="283"/>
              <w:jc w:val="left"/>
              <w:rPr>
                <w:sz w:val="4"/>
                <w:szCs w:val="4"/>
              </w:rPr>
            </w:pPr>
            <w:r>
              <w:rPr>
                <w:sz w:val="4"/>
                <w:szCs w:val="4"/>
              </w:rPr>
            </w:r>
          </w:p>
        </w:tc>
      </w:tr>
      <w:tr>
        <w:trPr/>
        <w:tc>
          <w:tcPr>
            <w:tcW w:w="3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75"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 (“APAC”)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7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 (“EMEA”)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was $108.1 million and $118.5 million as of April 30, 2025 and January 31, 2025, respectively, and the amount of unbilled accounts receivable included within other assets, noncurrent was immaterial as of April 30, 2025 and January 31, 2025.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April 30, 2025 and 2024 that was included in deferred revenue at the beginning of each period was $624.1 million and $592.5 million,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our subscription agreements are monthly, annual, and multiyear, and we may bill for the full term in advance or on an annual, quarterly, or monthly basis, depending on the billing terms with customers. As of April 30, 2025, the aggregate amount of the transaction price allocated to our remaining performance obligations was $3,877.3 million, which consists of both billed consideration in the amount of $1,425.4 million and unbilled consideration in the amount of $2,451.9 million that we expect to recognize as revenue. We expect to recognize 61% of our remaining performance obligations as revenue over the next 12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205"/>
                <wp:effectExtent l="0" t="0" r="0" b="0"/>
                <wp:wrapNone/>
                <wp:docPr id="12" name="Frame1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Investments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2025 and January 31, 2025, our marketable securities consisted of the following:</w:t>
      </w:r>
    </w:p>
    <w:tbl>
      <w:tblPr>
        <w:tblW w:w="8625" w:type="dxa"/>
        <w:jc w:val="left"/>
        <w:tblInd w:w="0" w:type="dxa"/>
        <w:tblLayout w:type="fixed"/>
        <w:tblCellMar>
          <w:top w:w="28" w:type="dxa"/>
          <w:left w:w="28" w:type="dxa"/>
          <w:bottom w:w="28" w:type="dxa"/>
          <w:right w:w="28" w:type="dxa"/>
        </w:tblCellMar>
      </w:tblPr>
      <w:tblGrid>
        <w:gridCol w:w="1070"/>
        <w:gridCol w:w="941"/>
        <w:gridCol w:w="944"/>
        <w:gridCol w:w="211"/>
        <w:gridCol w:w="976"/>
        <w:gridCol w:w="109"/>
        <w:gridCol w:w="109"/>
        <w:gridCol w:w="109"/>
        <w:gridCol w:w="109"/>
        <w:gridCol w:w="211"/>
        <w:gridCol w:w="721"/>
        <w:gridCol w:w="109"/>
        <w:gridCol w:w="109"/>
        <w:gridCol w:w="109"/>
        <w:gridCol w:w="109"/>
        <w:gridCol w:w="211"/>
        <w:gridCol w:w="691"/>
        <w:gridCol w:w="109"/>
        <w:gridCol w:w="109"/>
        <w:gridCol w:w="109"/>
        <w:gridCol w:w="109"/>
        <w:gridCol w:w="211"/>
        <w:gridCol w:w="97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6,563,976 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25" w:type="dxa"/>
        <w:jc w:val="left"/>
        <w:tblInd w:w="0" w:type="dxa"/>
        <w:tblLayout w:type="fixed"/>
        <w:tblCellMar>
          <w:top w:w="28" w:type="dxa"/>
          <w:left w:w="28" w:type="dxa"/>
          <w:bottom w:w="28" w:type="dxa"/>
          <w:right w:w="28" w:type="dxa"/>
        </w:tblCellMar>
      </w:tblPr>
      <w:tblGrid>
        <w:gridCol w:w="1070"/>
        <w:gridCol w:w="941"/>
        <w:gridCol w:w="944"/>
        <w:gridCol w:w="211"/>
        <w:gridCol w:w="976"/>
        <w:gridCol w:w="109"/>
        <w:gridCol w:w="109"/>
        <w:gridCol w:w="109"/>
        <w:gridCol w:w="109"/>
        <w:gridCol w:w="211"/>
        <w:gridCol w:w="721"/>
        <w:gridCol w:w="109"/>
        <w:gridCol w:w="109"/>
        <w:gridCol w:w="109"/>
        <w:gridCol w:w="109"/>
        <w:gridCol w:w="211"/>
        <w:gridCol w:w="691"/>
        <w:gridCol w:w="109"/>
        <w:gridCol w:w="109"/>
        <w:gridCol w:w="109"/>
        <w:gridCol w:w="109"/>
        <w:gridCol w:w="211"/>
        <w:gridCol w:w="97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6,442,329 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Unrealized losses for securities that have been in an unrealized loss position for less than 12 months were $1.5 million and $6.2 million as of April 30, 2025 and January 31, 2025, respectively. Unrealized losses for securities that have been in an unrealized loss position for 12 months or longer were immaterial as of April 30, 2025 and January 31, 2025.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loss for the three months ended April 30, 2025 and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contractual maturities of our marketable securities as of April 30, 2025 and January 31, 2025:</w:t>
      </w:r>
    </w:p>
    <w:tbl>
      <w:tblPr>
        <w:tblW w:w="5102" w:type="dxa"/>
        <w:jc w:val="left"/>
        <w:tblInd w:w="0" w:type="dxa"/>
        <w:tblLayout w:type="fixed"/>
        <w:tblCellMar>
          <w:top w:w="28" w:type="dxa"/>
          <w:left w:w="28" w:type="dxa"/>
          <w:bottom w:w="28" w:type="dxa"/>
          <w:right w:w="28" w:type="dxa"/>
        </w:tblCellMar>
      </w:tblPr>
      <w:tblGrid>
        <w:gridCol w:w="738"/>
        <w:gridCol w:w="649"/>
        <w:gridCol w:w="653"/>
        <w:gridCol w:w="211"/>
        <w:gridCol w:w="976"/>
        <w:gridCol w:w="109"/>
        <w:gridCol w:w="109"/>
        <w:gridCol w:w="109"/>
        <w:gridCol w:w="109"/>
        <w:gridCol w:w="226"/>
        <w:gridCol w:w="1048"/>
        <w:gridCol w:w="165"/>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3,502,515 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3,534,014 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2,908,315 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6,563,976 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6,442,329 </w:t>
            </w:r>
          </w:p>
        </w:tc>
        <w:tc>
          <w:tcPr>
            <w:tcW w:w="16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7205"/>
                <wp:effectExtent l="0" t="0" r="0" b="0"/>
                <wp:wrapNone/>
                <wp:docPr id="13" name="Frame1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Strategic investments by form and measurement category as of April 30, 2025 were as follows:</w:t>
      </w:r>
    </w:p>
    <w:tbl>
      <w:tblPr>
        <w:tblW w:w="8207" w:type="dxa"/>
        <w:jc w:val="left"/>
        <w:tblInd w:w="0" w:type="dxa"/>
        <w:tblLayout w:type="fixed"/>
        <w:tblCellMar>
          <w:top w:w="28" w:type="dxa"/>
          <w:left w:w="28" w:type="dxa"/>
          <w:bottom w:w="28" w:type="dxa"/>
          <w:right w:w="28" w:type="dxa"/>
        </w:tblCellMar>
      </w:tblPr>
      <w:tblGrid>
        <w:gridCol w:w="674"/>
        <w:gridCol w:w="591"/>
        <w:gridCol w:w="594"/>
        <w:gridCol w:w="211"/>
        <w:gridCol w:w="721"/>
        <w:gridCol w:w="109"/>
        <w:gridCol w:w="109"/>
        <w:gridCol w:w="109"/>
        <w:gridCol w:w="109"/>
        <w:gridCol w:w="359"/>
        <w:gridCol w:w="1406"/>
        <w:gridCol w:w="185"/>
        <w:gridCol w:w="109"/>
        <w:gridCol w:w="109"/>
        <w:gridCol w:w="109"/>
        <w:gridCol w:w="240"/>
        <w:gridCol w:w="821"/>
        <w:gridCol w:w="124"/>
        <w:gridCol w:w="109"/>
        <w:gridCol w:w="109"/>
        <w:gridCol w:w="109"/>
        <w:gridCol w:w="211"/>
        <w:gridCol w:w="82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Category</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Alternative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425,065 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Strategic investments by form and measurement category as of January 31, 2025 were as follows:</w:t>
      </w:r>
    </w:p>
    <w:tbl>
      <w:tblPr>
        <w:tblW w:w="8207" w:type="dxa"/>
        <w:jc w:val="left"/>
        <w:tblInd w:w="0" w:type="dxa"/>
        <w:tblLayout w:type="fixed"/>
        <w:tblCellMar>
          <w:top w:w="28" w:type="dxa"/>
          <w:left w:w="28" w:type="dxa"/>
          <w:bottom w:w="28" w:type="dxa"/>
          <w:right w:w="28" w:type="dxa"/>
        </w:tblCellMar>
      </w:tblPr>
      <w:tblGrid>
        <w:gridCol w:w="674"/>
        <w:gridCol w:w="591"/>
        <w:gridCol w:w="594"/>
        <w:gridCol w:w="211"/>
        <w:gridCol w:w="721"/>
        <w:gridCol w:w="109"/>
        <w:gridCol w:w="109"/>
        <w:gridCol w:w="109"/>
        <w:gridCol w:w="109"/>
        <w:gridCol w:w="359"/>
        <w:gridCol w:w="1406"/>
        <w:gridCol w:w="185"/>
        <w:gridCol w:w="109"/>
        <w:gridCol w:w="109"/>
        <w:gridCol w:w="109"/>
        <w:gridCol w:w="240"/>
        <w:gridCol w:w="821"/>
        <w:gridCol w:w="124"/>
        <w:gridCol w:w="109"/>
        <w:gridCol w:w="109"/>
        <w:gridCol w:w="109"/>
        <w:gridCol w:w="211"/>
        <w:gridCol w:w="82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Category</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Alternative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452,160 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our financial instruments that are measured at fair value on a recurring basis and indicate the fair value hierarchy of the valuation inputs utilized to determine such fair value:</w:t>
      </w:r>
    </w:p>
    <w:tbl>
      <w:tblPr>
        <w:tblW w:w="10205" w:type="dxa"/>
        <w:jc w:val="left"/>
        <w:tblInd w:w="0" w:type="dxa"/>
        <w:tblLayout w:type="fixed"/>
        <w:tblCellMar>
          <w:top w:w="28" w:type="dxa"/>
          <w:left w:w="28" w:type="dxa"/>
          <w:bottom w:w="28" w:type="dxa"/>
          <w:right w:w="28" w:type="dxa"/>
        </w:tblCellMar>
      </w:tblPr>
      <w:tblGrid>
        <w:gridCol w:w="1654"/>
        <w:gridCol w:w="1420"/>
        <w:gridCol w:w="142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616"/>
        <w:gridCol w:w="156"/>
      </w:tblGrid>
      <w:tr>
        <w:trPr/>
        <w:tc>
          <w:tcPr>
            <w:tcW w:w="165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30, 2025</w:t>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Publicly held equity securities included in strategic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debt securities included in strategic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14" name="Frame1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54"/>
        <w:gridCol w:w="1420"/>
        <w:gridCol w:w="142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616"/>
        <w:gridCol w:w="156"/>
      </w:tblGrid>
      <w:tr>
        <w:trPr/>
        <w:tc>
          <w:tcPr>
            <w:tcW w:w="165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2025</w:t>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Publicly held equity securities included in strategic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debt securities included in strategic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6,484,286 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highly liquid money market funds and publicly held equity securities as Level 1 of the fair value hierarchy because they are valued based on quoted market prices in active markets. We classify our commercial paper, agency bonds, corporate and other debt securities, U.S. government agency securities, treasury bills, and certificates of deposit as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for invoiced amounts and amounts for which revenue has been recognized, but not invoiced, net of allowances. Our short-term accounts receivable consist of the following:</w:t>
      </w:r>
    </w:p>
    <w:tbl>
      <w:tblPr>
        <w:tblW w:w="5635" w:type="dxa"/>
        <w:jc w:val="left"/>
        <w:tblInd w:w="0" w:type="dxa"/>
        <w:tblLayout w:type="fixed"/>
        <w:tblCellMar>
          <w:top w:w="28" w:type="dxa"/>
          <w:left w:w="28" w:type="dxa"/>
          <w:bottom w:w="28" w:type="dxa"/>
          <w:right w:w="28" w:type="dxa"/>
        </w:tblCellMar>
      </w:tblPr>
      <w:tblGrid>
        <w:gridCol w:w="982"/>
        <w:gridCol w:w="863"/>
        <w:gridCol w:w="869"/>
        <w:gridCol w:w="212"/>
        <w:gridCol w:w="833"/>
        <w:gridCol w:w="109"/>
        <w:gridCol w:w="109"/>
        <w:gridCol w:w="109"/>
        <w:gridCol w:w="109"/>
        <w:gridCol w:w="255"/>
        <w:gridCol w:w="999"/>
        <w:gridCol w:w="186"/>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returns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495,228 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rollforward of our allowance for credit losses for the three months ended April 30, 2025 and 2024:</w:t>
      </w:r>
    </w:p>
    <w:tbl>
      <w:tblPr>
        <w:tblW w:w="4659" w:type="dxa"/>
        <w:jc w:val="left"/>
        <w:tblInd w:w="0" w:type="dxa"/>
        <w:tblLayout w:type="fixed"/>
        <w:tblCellMar>
          <w:top w:w="28" w:type="dxa"/>
          <w:left w:w="28" w:type="dxa"/>
          <w:bottom w:w="28" w:type="dxa"/>
          <w:right w:w="28" w:type="dxa"/>
        </w:tblCellMar>
      </w:tblPr>
      <w:tblGrid>
        <w:gridCol w:w="799"/>
        <w:gridCol w:w="700"/>
        <w:gridCol w:w="706"/>
        <w:gridCol w:w="211"/>
        <w:gridCol w:w="721"/>
        <w:gridCol w:w="109"/>
        <w:gridCol w:w="109"/>
        <w:gridCol w:w="109"/>
        <w:gridCol w:w="109"/>
        <w:gridCol w:w="211"/>
        <w:gridCol w:w="72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April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15" name="Frame1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6370" w:type="dxa"/>
        <w:jc w:val="left"/>
        <w:tblInd w:w="0" w:type="dxa"/>
        <w:tblLayout w:type="fixed"/>
        <w:tblCellMar>
          <w:top w:w="28" w:type="dxa"/>
          <w:left w:w="28" w:type="dxa"/>
          <w:bottom w:w="28" w:type="dxa"/>
          <w:right w:w="28" w:type="dxa"/>
        </w:tblCellMar>
      </w:tblPr>
      <w:tblGrid>
        <w:gridCol w:w="1250"/>
        <w:gridCol w:w="1095"/>
        <w:gridCol w:w="1104"/>
        <w:gridCol w:w="212"/>
        <w:gridCol w:w="833"/>
        <w:gridCol w:w="109"/>
        <w:gridCol w:w="109"/>
        <w:gridCol w:w="109"/>
        <w:gridCol w:w="109"/>
        <w:gridCol w:w="255"/>
        <w:gridCol w:w="999"/>
        <w:gridCol w:w="186"/>
      </w:tblGrid>
      <w:tr>
        <w:trPr/>
        <w:tc>
          <w:tcPr>
            <w:tcW w:w="12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166,924 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200,679 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7031" w:type="dxa"/>
        <w:jc w:val="left"/>
        <w:tblInd w:w="0" w:type="dxa"/>
        <w:tblLayout w:type="fixed"/>
        <w:tblCellMar>
          <w:top w:w="28" w:type="dxa"/>
          <w:left w:w="28" w:type="dxa"/>
          <w:bottom w:w="28" w:type="dxa"/>
          <w:right w:w="28" w:type="dxa"/>
        </w:tblCellMar>
      </w:tblPr>
      <w:tblGrid>
        <w:gridCol w:w="1481"/>
        <w:gridCol w:w="1306"/>
        <w:gridCol w:w="1323"/>
        <w:gridCol w:w="212"/>
        <w:gridCol w:w="833"/>
        <w:gridCol w:w="109"/>
        <w:gridCol w:w="109"/>
        <w:gridCol w:w="109"/>
        <w:gridCol w:w="109"/>
        <w:gridCol w:w="255"/>
        <w:gridCol w:w="999"/>
        <w:gridCol w:w="186"/>
      </w:tblGrid>
      <w:tr>
        <w:trPr/>
        <w:tc>
          <w:tcPr>
            <w:tcW w:w="148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Servers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Furniture and fixtures </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658,596 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330,475 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$32.0 million and $23.3 million for the three months ended April 30, 2025 and 2024, respectively.</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Other Assets, Noncurrent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noncurrent consisted of the following:</w:t>
      </w:r>
    </w:p>
    <w:tbl>
      <w:tblPr>
        <w:tblW w:w="6655" w:type="dxa"/>
        <w:jc w:val="left"/>
        <w:tblInd w:w="0" w:type="dxa"/>
        <w:tblLayout w:type="fixed"/>
        <w:tblCellMar>
          <w:top w:w="28" w:type="dxa"/>
          <w:left w:w="28" w:type="dxa"/>
          <w:bottom w:w="28" w:type="dxa"/>
          <w:right w:w="28" w:type="dxa"/>
        </w:tblCellMar>
      </w:tblPr>
      <w:tblGrid>
        <w:gridCol w:w="1351"/>
        <w:gridCol w:w="1188"/>
        <w:gridCol w:w="1195"/>
        <w:gridCol w:w="212"/>
        <w:gridCol w:w="833"/>
        <w:gridCol w:w="109"/>
        <w:gridCol w:w="109"/>
        <w:gridCol w:w="109"/>
        <w:gridCol w:w="109"/>
        <w:gridCol w:w="255"/>
        <w:gridCol w:w="999"/>
        <w:gridCol w:w="186"/>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noncurrent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noncurrent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 noncurrent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154,073 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7205"/>
                <wp:effectExtent l="0" t="0" r="0" b="0"/>
                <wp:wrapNone/>
                <wp:docPr id="16" name="Frame1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6746" w:type="dxa"/>
        <w:jc w:val="left"/>
        <w:tblInd w:w="0" w:type="dxa"/>
        <w:tblLayout w:type="fixed"/>
        <w:tblCellMar>
          <w:top w:w="28" w:type="dxa"/>
          <w:left w:w="28" w:type="dxa"/>
          <w:bottom w:w="28" w:type="dxa"/>
          <w:right w:w="28" w:type="dxa"/>
        </w:tblCellMar>
      </w:tblPr>
      <w:tblGrid>
        <w:gridCol w:w="1386"/>
        <w:gridCol w:w="1215"/>
        <w:gridCol w:w="1224"/>
        <w:gridCol w:w="212"/>
        <w:gridCol w:w="833"/>
        <w:gridCol w:w="109"/>
        <w:gridCol w:w="109"/>
        <w:gridCol w:w="109"/>
        <w:gridCol w:w="109"/>
        <w:gridCol w:w="255"/>
        <w:gridCol w:w="999"/>
        <w:gridCol w:w="186"/>
      </w:tblGrid>
      <w:tr>
        <w:trP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other non-income tax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558,562 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Other Liabilities, Noncurrent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 consisted of the following:</w:t>
      </w:r>
    </w:p>
    <w:tbl>
      <w:tblPr>
        <w:tblW w:w="6415" w:type="dxa"/>
        <w:jc w:val="left"/>
        <w:tblInd w:w="0" w:type="dxa"/>
        <w:tblLayout w:type="fixed"/>
        <w:tblCellMar>
          <w:top w:w="28" w:type="dxa"/>
          <w:left w:w="28" w:type="dxa"/>
          <w:bottom w:w="28" w:type="dxa"/>
          <w:right w:w="28" w:type="dxa"/>
        </w:tblCellMar>
      </w:tblPr>
      <w:tblGrid>
        <w:gridCol w:w="1266"/>
        <w:gridCol w:w="1113"/>
        <w:gridCol w:w="1116"/>
        <w:gridCol w:w="212"/>
        <w:gridCol w:w="833"/>
        <w:gridCol w:w="109"/>
        <w:gridCol w:w="109"/>
        <w:gridCol w:w="109"/>
        <w:gridCol w:w="109"/>
        <w:gridCol w:w="279"/>
        <w:gridCol w:w="956"/>
        <w:gridCol w:w="204"/>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other non-income tax liabilities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income tax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95,363 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Commitments and Contingencies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Non-cancelable Purchase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2025, there have been no material changes to our non-cancelable purchase obligations from those disclosed in Note 9. “Commitments and Contingencies” in the notes to consolidated financial statements included in our Annual Report on Form 10-K for the year ended January 31, 2025 filed with the SEC on February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7205"/>
                <wp:effectExtent l="0" t="0" r="0" b="0"/>
                <wp:wrapNone/>
                <wp:docPr id="17" name="Frame1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These investigations are ongoing, and a negative outcome in any or all of these matters could cause us to incur substantial fines, penalties, or other financial exposure, as well as reputational harm. During the fiscal year ended January 31, 2025, we recorded an $18.0 million accrual with respect to a tentative settlement offer for the SEC matter that remains subject to SEC approval. We do not know when these matters will be completed, including the SEC matter, which facts we will ultimately discover as a result of the investigations, or what actions the government may or may not take. We are unable to predict the ultimate outcome of these matters and are unable to reasonably estimate any range of possible loss beyond the $18.0 million settlement offer for the SEC matter.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On October 27, 2021, a third substantially identical lawsuit was filed in the same court against the same defendants, seeking unspecified monetary damages and governance reforms. On November 17, 2021, all three derivative lawsuits were consolidated. The consolidated case was stayed pending resolution of the motion to dismiss the securities class action. On April 11, 2023, the court entered a stipulated order that required defendants to answer, move, or otherwise respond to the operative complaint by June 12, 2023. On June 12, 2023, defendants filed a motion to dismiss the consolidated case. On August 11, 2023, the plaintiff in the consolidated case filed an amended complaint. On October 18, 2023, defendants filed their motion to dismiss the amended complaint. On December 22, 2023, plaintiff filed her opposition to the motion to dismiss, and on January 26, 2024, defendants filed their reply in support of the motion to dismiss. On April 1, 2024, the parties notified the court that the parties are engaged in good-faith, material settlement discussions, and requested that the court stay any proceedings and rulings in connection with the pending motion to dismiss while the parties attempt to reach a proposed resolution of this action. On April 2, 2024, the Court stayed the case. On January 14, 2025, the parties executed a Stipulation of Settlement (“Stipulation”) to resolve this matter. Under the terms of the Stipulation, in exchange for the release and dismissal with prejudice of all claims against all defendants in the matter, Zoom agreed to enact certain corporate governance reforms and to pay plaintiff’s counsel a fee award of up to $1.35 million. On January 16, 2025, plaintiff filed a motion for preliminary approval of the settlement. On February 6, 2025, the court held a hearing on the motion for preliminary approval of the settlement. On April 16, 2025, the court preliminarily approved the settlement. The Stipulation and settlement remain subject to final approval by the court. We accrued the $1.35 million fee award and recorded it as a general and administrative expense in our consolidated statement of operations for the year ended January 31, 2025.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vigorously defending ourselves against these lawsuits. Given the uncertainty of litigation, the preliminary stage of the cases, and the legal standards that must be met for, among other things, class certification and success on the merits, except as otherwise described above, we cannot estimate the reasonably possible loss or range of loss that may result from these actions.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7205"/>
                <wp:effectExtent l="0" t="0" r="0" b="0"/>
                <wp:wrapNone/>
                <wp:docPr id="18" name="Frame1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2022, the court ordered plaintiff to respond to our motion, which plaintiff did on March 29, 2022. On April 22, 2022, we answered the complaint. On March 8, 2023, the court denied our motion for reconsideration. On April 6, 2023, the court entered a scheduling order. On July 17, 2023, the parties entered into a stipulation and agreement of settlement (the “Stipulation”) to resolve this matter. Under the terms of the stipulation, in exchange for the release and dismissal with prejudice of all claims against all defendants in the matter, we have agreed to pay and/or cause our insurance carriers to pay a total of $150.0 million. The Stipulation and settlement remain subject to preliminary and final approval by the court. On July 25, 2023, the court entered an order staying further proceedings in the matter pending the filing of a motion for preliminary approval of the settlement. On October 17, 2023, lead plaintiff filed a motion for preliminary approval of the settlement. A hearing on the motion for preliminary approval was held on June 13, 2024, but the court has yet to enter a preliminary approval order. As a result of the settlement, we made net payments of $60.0 million ($150.0 million for the settlement net of $90.0 million covered by insurance) during the year ended January 31, 2024, of which $7.5 million had been accrued during the year ended January 31, 2023 and $52.5 million was recorded as a general and administrative expense in our consolidated statement of operations for the year ended January 31,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7.    Stockholders’ Equity and Equity Incentive Plans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Stock Repurchase Program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our Board of Directors authorized a stock repurchase program of up to $1.5 billion of our Class A common stock. In November 2024, our Board of Directors authorized the repurchase of an additional $1.2 billion of our outstanding Class A common stock. Repurchases of our Class A common stock may be effected from time to time, either on the open market (including preset trading plans), in privately negotiated transactions, and other transactions in accordance with applicable securities laws. The program does not obligate us to repurchase any specific number of shares and may be discontinued at any time.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2025, we repurchased and subsequently retired 5,561,920 shares of our Class A common stock for an aggregate amount of $418.0 million. As of April 30, 2025, $1.2 billion of the repurchase authorization remained available.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equity incentive plans: the 2011 Global Share Plan (“2011 Plan”) and the 2019 Equity Incentive Plan (“2019 Plan”). All shares that remain available for future grants are under the 2019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97205"/>
                <wp:effectExtent l="0" t="0" r="0" b="0"/>
                <wp:wrapNone/>
                <wp:docPr id="19" name="Frame1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under our equity incentive plan and related information is as follows:</w:t>
      </w:r>
    </w:p>
    <w:tbl>
      <w:tblPr>
        <w:tblW w:w="9519" w:type="dxa"/>
        <w:jc w:val="left"/>
        <w:tblInd w:w="0" w:type="dxa"/>
        <w:tblLayout w:type="fixed"/>
        <w:tblCellMar>
          <w:top w:w="28" w:type="dxa"/>
          <w:left w:w="28" w:type="dxa"/>
          <w:bottom w:w="28" w:type="dxa"/>
          <w:right w:w="28" w:type="dxa"/>
        </w:tblCellMar>
      </w:tblPr>
      <w:tblGrid>
        <w:gridCol w:w="1478"/>
        <w:gridCol w:w="1295"/>
        <w:gridCol w:w="1306"/>
        <w:gridCol w:w="488"/>
        <w:gridCol w:w="488"/>
        <w:gridCol w:w="336"/>
        <w:gridCol w:w="109"/>
        <w:gridCol w:w="109"/>
        <w:gridCol w:w="109"/>
        <w:gridCol w:w="285"/>
        <w:gridCol w:w="285"/>
        <w:gridCol w:w="286"/>
        <w:gridCol w:w="109"/>
        <w:gridCol w:w="109"/>
        <w:gridCol w:w="109"/>
        <w:gridCol w:w="330"/>
        <w:gridCol w:w="330"/>
        <w:gridCol w:w="331"/>
        <w:gridCol w:w="109"/>
        <w:gridCol w:w="109"/>
        <w:gridCol w:w="109"/>
        <w:gridCol w:w="211"/>
        <w:gridCol w:w="826"/>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br/>
              <w:t>Stock</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life, and per share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2,394,918 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 xml:space="preserve">$9.02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(355,620)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 xml:space="preserve">$2.68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Canceled/forfeited/expired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 xml:space="preserve">$94.87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as of April 30, 2025</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2,038,501 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 xml:space="preserve">$10.10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2025, all options have vested and there is no unrecognized stock-based compensation expense remaining.</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 activity under our equity incentive plan and related information is as follows:</w:t>
      </w:r>
    </w:p>
    <w:tbl>
      <w:tblPr>
        <w:tblW w:w="6899" w:type="dxa"/>
        <w:jc w:val="left"/>
        <w:tblInd w:w="0" w:type="dxa"/>
        <w:tblLayout w:type="fixed"/>
        <w:tblCellMar>
          <w:top w:w="28" w:type="dxa"/>
          <w:left w:w="28" w:type="dxa"/>
          <w:bottom w:w="28" w:type="dxa"/>
          <w:right w:w="28" w:type="dxa"/>
        </w:tblCellMar>
      </w:tblPr>
      <w:tblGrid>
        <w:gridCol w:w="994"/>
        <w:gridCol w:w="874"/>
        <w:gridCol w:w="877"/>
        <w:gridCol w:w="540"/>
        <w:gridCol w:w="541"/>
        <w:gridCol w:w="166"/>
        <w:gridCol w:w="109"/>
        <w:gridCol w:w="109"/>
        <w:gridCol w:w="109"/>
        <w:gridCol w:w="555"/>
        <w:gridCol w:w="1620"/>
        <w:gridCol w:w="40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January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23,870,513 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2,576,206 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(4,016,633)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April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21,389,700 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2025, unrecognized stock-based compensation expense related to RSUs was $1,405.1 million, which is expected to be recognized over a weighted-average period of 2.6 years.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April 30, 2025, we granted 0.7 million RSUs that contain both service and performance vesting criteria. The ultimate number of shares eligible to vest pursuant to these RSUs range from 0% to 100% of the target number of shares depending on achievement of the performance metrics. The number of RSUs with service and performance vesting conditions included in the granted amount in the table above reflects the shares that would be eligible to vest at 100% of the target amount.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2019 Employee Stock Purchase Plan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2019, we adopted the 2019 ESPP. As of April 30, 2025, unrecognized stock-based compensation expense related to the ESPP was $26.1 million, which is expected to be recognized over a weighted-average period of 1.1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7205"/>
                <wp:effectExtent l="0" t="0" r="0" b="0"/>
                <wp:wrapNone/>
                <wp:docPr id="20" name="Frame2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by line item in the accompanying condensed consolidated statements of operations is summarized as follows:</w:t>
      </w:r>
    </w:p>
    <w:tbl>
      <w:tblPr>
        <w:tblW w:w="8454" w:type="dxa"/>
        <w:jc w:val="left"/>
        <w:tblInd w:w="0" w:type="dxa"/>
        <w:tblLayout w:type="fixed"/>
        <w:tblCellMar>
          <w:top w:w="28" w:type="dxa"/>
          <w:left w:w="28" w:type="dxa"/>
          <w:bottom w:w="28" w:type="dxa"/>
          <w:right w:w="28" w:type="dxa"/>
        </w:tblCellMar>
      </w:tblPr>
      <w:tblGrid>
        <w:gridCol w:w="1935"/>
        <w:gridCol w:w="1706"/>
        <w:gridCol w:w="1713"/>
        <w:gridCol w:w="211"/>
        <w:gridCol w:w="826"/>
        <w:gridCol w:w="109"/>
        <w:gridCol w:w="109"/>
        <w:gridCol w:w="109"/>
        <w:gridCol w:w="109"/>
        <w:gridCol w:w="211"/>
        <w:gridCol w:w="826"/>
        <w:gridCol w:w="109"/>
        <w:gridCol w:w="109"/>
        <w:gridCol w:w="109"/>
        <w:gridCol w:w="109"/>
        <w:gridCol w:w="154"/>
      </w:tblGrid>
      <w:tr>
        <w:trPr/>
        <w:tc>
          <w:tcPr>
            <w:tcW w:w="1935"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recorded to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We compute our provision for income taxes by applying the estimated annual effective tax rate to year-to-date ordinary income and adjust the provision for discrete tax items recorded in the period. </w:t>
      </w:r>
      <w:r>
        <w:rPr>
          <w:rFonts w:ascii="Times New Roman;sans-serif" w:hAnsi="Times New Roman;sans-serif"/>
          <w:b w:val="false"/>
          <w:color w:val="000000"/>
          <w:sz w:val="20"/>
        </w:rPr>
        <w:t>In each quarter, we update the estimated annual effective tax rate and make a year-to-date adjustment to the provision.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w:t>
      </w:r>
      <w:r>
        <w:rPr>
          <w:color w:val="000000"/>
        </w:rPr>
        <w:t xml:space="preserve"> </w:t>
      </w:r>
      <w:r>
        <w:rPr>
          <w:rFonts w:ascii="Times New Roman;sans-serif" w:hAnsi="Times New Roman;sans-serif"/>
          <w:b w:val="false"/>
          <w:color w:val="000000"/>
          <w:sz w:val="20"/>
        </w:rPr>
        <w:t>following table provides details of the provision for income taxes:</w:t>
      </w:r>
    </w:p>
    <w:tbl>
      <w:tblPr>
        <w:tblW w:w="6903" w:type="dxa"/>
        <w:jc w:val="left"/>
        <w:tblInd w:w="0" w:type="dxa"/>
        <w:tblLayout w:type="fixed"/>
        <w:tblCellMar>
          <w:top w:w="28" w:type="dxa"/>
          <w:left w:w="28" w:type="dxa"/>
          <w:bottom w:w="28" w:type="dxa"/>
          <w:right w:w="28" w:type="dxa"/>
        </w:tblCellMar>
      </w:tblPr>
      <w:tblGrid>
        <w:gridCol w:w="1259"/>
        <w:gridCol w:w="1108"/>
        <w:gridCol w:w="1112"/>
        <w:gridCol w:w="211"/>
        <w:gridCol w:w="826"/>
        <w:gridCol w:w="271"/>
        <w:gridCol w:w="109"/>
        <w:gridCol w:w="109"/>
        <w:gridCol w:w="109"/>
        <w:gridCol w:w="211"/>
        <w:gridCol w:w="826"/>
        <w:gridCol w:w="271"/>
        <w:gridCol w:w="109"/>
        <w:gridCol w:w="109"/>
        <w:gridCol w:w="109"/>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481" w:type="dxa"/>
            <w:gridSpan w:val="4"/>
            <w:tcBorders/>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year-over-year change in effective tax rate for the three months ended April 30, 2025 was due primarily to the </w:t>
      </w:r>
      <w:r>
        <w:rPr>
          <w:rFonts w:ascii="Times New Roman;sans-serif" w:hAnsi="Times New Roman;sans-serif"/>
          <w:b w:val="false"/>
          <w:color w:val="000000"/>
          <w:sz w:val="20"/>
          <w:shd w:fill="FFFFFF" w:val="clear"/>
        </w:rPr>
        <w:t>changes in income before taxes and a decrease in net</w:t>
      </w:r>
      <w:r>
        <w:rPr>
          <w:color w:val="000000"/>
        </w:rPr>
        <w:t xml:space="preserve"> </w:t>
      </w:r>
      <w:r>
        <w:rPr>
          <w:rFonts w:ascii="Times New Roman;sans-serif" w:hAnsi="Times New Roman;sans-serif"/>
          <w:b w:val="false"/>
          <w:color w:val="000000"/>
          <w:sz w:val="20"/>
        </w:rPr>
        <w:t>tax shortfalls and windfalls on stock-based compensation. For both the three months ended April 30, 2025 and April 30, 2024, the effective tax rate differed from the U.S. federal statutory rate due primarily to the foreign-derived intangible income deduction and research credits offset by tax shortfalls on stock-based compensation, state income taxes, and other compensation-related permanent differences.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the 2017 Tax Cuts and Jobs Act, we started capitalizing research and development expenses incurred beginning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7205"/>
                <wp:effectExtent l="0" t="0" r="0" b="0"/>
                <wp:wrapNone/>
                <wp:docPr id="21" name="Frame2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Net Income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share for the periods presented:</w:t>
      </w:r>
    </w:p>
    <w:tbl>
      <w:tblPr>
        <w:tblW w:w="10205" w:type="dxa"/>
        <w:jc w:val="left"/>
        <w:tblInd w:w="0" w:type="dxa"/>
        <w:tblLayout w:type="fixed"/>
        <w:tblCellMar>
          <w:top w:w="28" w:type="dxa"/>
          <w:left w:w="28" w:type="dxa"/>
          <w:bottom w:w="28" w:type="dxa"/>
          <w:right w:w="28" w:type="dxa"/>
        </w:tblCellMar>
      </w:tblPr>
      <w:tblGrid>
        <w:gridCol w:w="1472"/>
        <w:gridCol w:w="1196"/>
        <w:gridCol w:w="1178"/>
        <w:gridCol w:w="221"/>
        <w:gridCol w:w="830"/>
        <w:gridCol w:w="109"/>
        <w:gridCol w:w="109"/>
        <w:gridCol w:w="109"/>
        <w:gridCol w:w="109"/>
        <w:gridCol w:w="223"/>
        <w:gridCol w:w="738"/>
        <w:gridCol w:w="109"/>
        <w:gridCol w:w="109"/>
        <w:gridCol w:w="109"/>
        <w:gridCol w:w="109"/>
        <w:gridCol w:w="221"/>
        <w:gridCol w:w="830"/>
        <w:gridCol w:w="109"/>
        <w:gridCol w:w="109"/>
        <w:gridCol w:w="109"/>
        <w:gridCol w:w="109"/>
        <w:gridCol w:w="223"/>
        <w:gridCol w:w="738"/>
        <w:gridCol w:w="109"/>
        <w:gridCol w:w="109"/>
        <w:gridCol w:w="109"/>
        <w:gridCol w:w="109"/>
        <w:gridCol w:w="109"/>
        <w:gridCol w:w="109"/>
        <w:gridCol w:w="109"/>
        <w:gridCol w:w="109"/>
        <w:gridCol w:w="155"/>
      </w:tblGrid>
      <w:tr>
        <w:trPr/>
        <w:tc>
          <w:tcPr>
            <w:tcW w:w="147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1" w:type="dxa"/>
            <w:gridSpan w:val="21"/>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918" w:type="dxa"/>
            <w:gridSpan w:val="8"/>
            <w:tcBorders/>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5441" w:type="dxa"/>
            <w:gridSpan w:val="21"/>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18" w:type="dxa"/>
            <w:gridSpan w:val="8"/>
            <w:tcBorders/>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basic</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diluted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income per share, 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262,526,502 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42,382,150 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262,693,481 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income per share, diluted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268,527,554 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266,476,843 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48,883,835 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 basic</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 diluted</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income per share for the periods presented, because including them would have been anti-dilutive, are as follows:</w:t>
      </w:r>
    </w:p>
    <w:tbl>
      <w:tblPr>
        <w:tblW w:w="8584" w:type="dxa"/>
        <w:jc w:val="left"/>
        <w:tblInd w:w="0" w:type="dxa"/>
        <w:tblLayout w:type="fixed"/>
        <w:tblCellMar>
          <w:top w:w="28" w:type="dxa"/>
          <w:left w:w="28" w:type="dxa"/>
          <w:bottom w:w="28" w:type="dxa"/>
          <w:right w:w="28" w:type="dxa"/>
        </w:tblCellMar>
      </w:tblPr>
      <w:tblGrid>
        <w:gridCol w:w="1145"/>
        <w:gridCol w:w="1006"/>
        <w:gridCol w:w="1013"/>
        <w:gridCol w:w="435"/>
        <w:gridCol w:w="436"/>
        <w:gridCol w:w="216"/>
        <w:gridCol w:w="109"/>
        <w:gridCol w:w="109"/>
        <w:gridCol w:w="109"/>
        <w:gridCol w:w="209"/>
        <w:gridCol w:w="209"/>
        <w:gridCol w:w="211"/>
        <w:gridCol w:w="109"/>
        <w:gridCol w:w="109"/>
        <w:gridCol w:w="109"/>
        <w:gridCol w:w="480"/>
        <w:gridCol w:w="481"/>
        <w:gridCol w:w="216"/>
        <w:gridCol w:w="109"/>
        <w:gridCol w:w="109"/>
        <w:gridCol w:w="109"/>
        <w:gridCol w:w="209"/>
        <w:gridCol w:w="209"/>
        <w:gridCol w:w="211"/>
        <w:gridCol w:w="109"/>
        <w:gridCol w:w="109"/>
        <w:gridCol w:w="109"/>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RSUs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2,262,575 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10,342,542 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rights committed under the ESPP</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211,765 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1,040,285 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stock options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91,637 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102,354 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2,565,977 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11,485,181 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does not include 405,156 shares of issued Class A common stock held by us as of April 30, 2025 and 2024 that are reserved for the sole purpose of being transferred to nonprofit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Segment information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CEO is the Chief Operating Decision Maker (“CODM”) of the Company. The Company manages the business activities on a consolidated basis and all information provided to and reviewed by our CODM is compiled at the consolidated entity level. Therefore, we have only one operating and reportable segment. The description of the types of products and services from which the reportable segment derives its revenue is the same as those described in the Summary of Business and Significant Accounting Policies.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 of segment profit or loss that our CODM uses to allocate resources and assess performance is our consolidated net income. The CODM uses net income to monitor results and to decide whether to reinvest profits. Our CODM does not assess segment performance or make decisions using asset or liability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significant segment expenses regularly provided to the CODM as well as other segment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7205"/>
                <wp:effectExtent l="0" t="0" r="0" b="0"/>
                <wp:wrapNone/>
                <wp:docPr id="22" name="Frame2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tbl>
      <w:tblPr>
        <w:tblW w:w="6669" w:type="dxa"/>
        <w:jc w:val="left"/>
        <w:tblInd w:w="0" w:type="dxa"/>
        <w:tblLayout w:type="fixed"/>
        <w:tblCellMar>
          <w:top w:w="28" w:type="dxa"/>
          <w:left w:w="28" w:type="dxa"/>
          <w:bottom w:w="28" w:type="dxa"/>
          <w:right w:w="28" w:type="dxa"/>
        </w:tblCellMar>
      </w:tblPr>
      <w:tblGrid>
        <w:gridCol w:w="1180"/>
        <w:gridCol w:w="1038"/>
        <w:gridCol w:w="1051"/>
        <w:gridCol w:w="211"/>
        <w:gridCol w:w="976"/>
        <w:gridCol w:w="109"/>
        <w:gridCol w:w="109"/>
        <w:gridCol w:w="109"/>
        <w:gridCol w:w="109"/>
        <w:gridCol w:w="211"/>
        <w:gridCol w:w="976"/>
        <w:gridCol w:w="109"/>
        <w:gridCol w:w="109"/>
        <w:gridCol w:w="109"/>
        <w:gridCol w:w="109"/>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cost of revenue </w:t>
            </w:r>
            <w:r>
              <w:rPr>
                <w:rFonts w:ascii="Times New Roman;sans-serif" w:hAnsi="Times New Roman;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research and development </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sales and marketing </w:t>
            </w:r>
            <w:r>
              <w:rPr>
                <w:rFonts w:ascii="Times New Roman;sans-serif" w:hAnsi="Times New Roman;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general and administrative </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and reconciling items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Excludes stock-based compensation expense and related payroll taxes, acquisition-related expenses, and litigation settlements, net</w:t>
      </w:r>
    </w:p>
    <w:p>
      <w:pPr>
        <w:pStyle w:val="TextBody"/>
        <w:bidi w:val="0"/>
        <w:spacing w:lineRule="auto" w:line="254" w:before="0" w:after="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Includes stock-based compensation related payroll taxes, acquisition-related expenses, litigation settlements, net, gains on strategic investments, net, and other income, net excluding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Workplace with AI Companion is an AI-first open work platform for human connection. Our platform is designed to enable seamless communication and collaboration through a suite of products that includes Zoom Meetings, Zoom Phone, Zoom Team Chat, Zoom Docs, and more, all with AI at its core to improve productivity, collaboration, and business outcomes.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simplify the workday with tools that drive meaningful team collaboration and customer engagement. Zoom Workplace, our AI-first open work platform, supports businesses by providing a secure, scalable solution for communication and collaboration. Together with Zoom Business Services, which include Zoom Contact Center, Zoom Revenue Accelerator, and Zoom Events that empower sales, marketing, and customer experience teams, Zoom is helping businesses foster stronger customer and employee relationships.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AI is core to Zoom’s product innovation. Over the past year, Zoom continued to invest in AI, expanding its agentic AI skills, agents, and models, and focused on three key areas: supporting individual productivity, powering better collaboration, and helping customer-facing teams get more done, do better work, and strengthen relationships with AI Companion. Our federated approach to AI dynamically leverages multiple AI Large Language Models (“LLMs”) (including those from OpenAI, Anthropic, and Meta), as well as Small Language Models (“SLMs”), making AI more accessible and affordable so that more people can incorporate them in their day-to-day workflows. In line with our commitment to responsible AI, Zoom does not use customer audio, video, chat, screen sharing, attachments, or other communications-like customer content (such as poll results, whiteboard, and reactions) to train Zoom’s or its third-party AI models.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Zoom’s platform prioritizes security and privacy, with 31 co-located data centers globally and robust encryption options. We are committed to delivering high-quality, real-time video, even in low-bandwidth conditions, while safeguarding our customers'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7205"/>
                <wp:effectExtent l="0" t="0" r="0" b="0"/>
                <wp:wrapNone/>
                <wp:docPr id="23" name="Frame2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driven by subscriptions to Zoom Workplace and Zoom Business Services. Our core offerings include Zoom Workplace Pro, Business, and Enterprise bundles, with vertical-specific plans for Education, Healthcare, and Government. We also offer Zoom Phone, with regional and global calling plans designed to meet diverse customer needs.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was $1,174.7 million and $1,141.2 million for the three months ended April 30, 2025 and 2024, respectively, representing period-over-period growth of 2.9%. We had net income of $254.6 million and $216.3 million for the three months ended April 30, 2025 and 2024, respectively. Net cash provided by operating activities was $489.3 million and $588.2 million for the three months ended April 30, 2025 and 2024,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Macroeconomic Conditions and Other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macroeconomic environment, including geopolitical conflicts, tariffs and escalating trade tensions, inflationary pressures, interest rate fluctuations, and the global market and foreign currency exchange rate volatility, continues to create uncertainty in demand for subscriptions to our open work platform. These factors, along with responses by central banks and government policies, have placed pressure on consumer and business behavior, leading to elongated sales cycles and increased scrutiny of IT budgets among existing and potential customers. For the three months ended April 30, 2025, compared to the three months ended April 30, 2024, we experienced continued growth in total revenue and revenue from Enterprise customers. However, several factors, in addition to the macroeconomic environment, have impacted and may continue to impact our growth rate, such as higher market penetration, increased competition, and the maturation of our business, among others.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recent months, intensifying trade tensions and global market volatility have impacted the macroeconomic environment, and we continue to monitor the potential effects of these circumstances as well as the overall global economy and geopolitical landscape on our business and financial results. The implications of macroeconomic conditions on our business, results of operations, and overall financial position, particularly in the long term, remain uncertain.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Refer to “Part II—Other Information, Item 1A. Risk Factors” of this Quarterly Report on Form 10-Q for further discussions of the potential impacts of the current macroeconomic conditions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Acquiring New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continuing to grow the number of customers who use Zoom Workplace and Zoom Business Services.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Expansion of Zoom Across Existing Enterprise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there is a large opportunity for growth with many of our existing customers. Historically, customers have increased the size of their subscriptions as they have expanded their use of our platform across their operations. Over the past few years, macroeconomic headwinds have resulted in slower hiring and higher seat count downsells from our existing Enterprise customers in key markets that have impacted the rate of expansion and have caused our net dollar expansion rate for Enterprise customers to drop below one hundred percent. Despite the decline in our net dollar expansion metric, we believe there are still opportunities for future growth with our existing customers as we innovate our platform with additional product offerings and the use of AI. This expansion in the use of our platform also provides us with opportunities to market and sell additional products to our customers, such as Zoom Phone, Contact Center, and Workvivo. In order for us to address this opportunity and expand the use of our products with our existing customers, we will need to maintain the reliability of our platform and produce new features and functionality that are responsive to our customers’ requirements for enterprise-grade solutions.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60.0% and 58.3% of total revenue for the three months ended April 30, 2025 and 2024, respectively. Our net dollar expansion rate includes the increase in user adoption within our Enterprise customers, as our subscription revenue is primarily driven by the number of paid licenses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7205"/>
                <wp:effectExtent l="0" t="0" r="0" b="0"/>
                <wp:wrapNone/>
                <wp:docPr id="24" name="Frame2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contractions, and attrition. We divide the Current Period ARR by the Prior Period ARR to arrive at the net dollar expansion rate. For the trailing 12 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as of April 30, 2025 and 2024 was 98% and 99%, respectively.</w:t>
      </w:r>
    </w:p>
    <w:p>
      <w:pPr>
        <w:pStyle w:val="TextBody"/>
        <w:bidi w:val="0"/>
        <w:spacing w:before="120" w:after="283"/>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Retention of Online Customers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Enterprise customers, we also have a significant number of customers who subscribe to our services directly through our website (“Online customers” or “Online business”). Online customers represent a diverse customer base, ranging from individual consumers to small and medium-sized businesses. We continue to focus on acquisition and retention of our Online customer base through various strategies to improve the features and functionalities of our products and services. Revenue from Online customers represented 40.0% and 41.7% of total revenue for the three months ended April 30, 2025 and 2024, respectively. Our ability to retain these Online customers will have an impact on our future revenue. The online monthly average churn for our Online customers was 2.8% and 3.2% per month for the three months ended April 30, 2025 and 2024, respectively. One of the dynamics in the Online portion of the business is the MRR contribution from customers who have retained Zoom services for a certain portion of time as these customers tend to maintain their subscriptions and contribute meaningfully to the Online business. As of April 30, 2025 and 2024, the percentage of total Online MRR from Online customers with a continuous term of service of at least 16 months was 74.2% and 73.8%, respectively.</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We calculate the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We then divide that amount by three to calculate the Online average monthly churn for the applicable quarter.</w:t>
      </w:r>
      <w:r>
        <w:rPr>
          <w:color w:val="000000"/>
        </w:rPr>
        <w:t xml:space="preserve">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Innovation and Expansion of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enhancing the capabilities of Zoom Workplace and Zoom Business Services. This includes ongoing investments in AI, with a focus on expanding agentic AI skills, agents, and models. Recent product innovations and enhancements include Zoom AI Companion, Zoom Docs, Zoom Tasks and continued enhancements for Phone, Meetings, Zoom Rooms, Sessions, Webinars, Events, Workvivo, Contact Center, and more. We also deliver Zoom Phone calling plans in more than 45 countries and territories as of April 30, 2025.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recently launched several products, including Zoom Tasks, a Custom AI Companion add-on, Zoom Workplace for Frontline Workers, and Zoom Workplace for Clinicians. Zoom Tasks with AI Companion helps users surface, complete, and manage tasks across Zoom Workplace by automatically detecting action items in meeting summaries, or surfacing tasks when prompted from chats and emails, and completing tasks like scheduling follow-up meetings or generating documents from meetings. The Custom AI Companion add-on is designed to handle complex tasks across our platform by integrating data from multiple sources, including third-party apps. Zoom Workplace for Frontline Workers is an AI-first mobile solution aimed at enhancing on-shift communications, task management, and insights for frontline employees and their managers. Zoom Workplace for Clinicians is designed to automate clinical workflows, leveraging healthcare AI to streamline clinical notes, reduce documentation overhead, and improve doctor-patient interactions.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is an open platform, and third-party developers are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End-to-end encryption (“E2EE”) is available to free and paid Zoom customers globally who host meetings with up to 1,000 participants as well as on Zoom Phone for one-on-one calls on the same Zoom account. Zoom’s E2EE uses the same 256-bit AES-GCM encryption to encrypt real-time media in meetings during transit that supports standard Zoom Meetings, but with Zoom’s E2EE, the feature is designed so that the device of the meeting host, or originating caller in the case of Zoom Phone,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7205"/>
                <wp:effectExtent l="0" t="0" r="0" b="0"/>
                <wp:wrapNone/>
                <wp:docPr id="25" name="Frame2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opposed to Zoom’s servers, generates encryption keys and uses public key cryptography to distribute these keys to the other meeting participants or call recipient. Additionally, Zoom’s post-quantum E2EE is now globally available for Zoom Workplace, specifically for Zoom Meetings, Zoom Phone, and Zoom Rooms. We believe that the launch of the new security enhancement makes Zoom the first UCaaS company to offer a post-quantum E2EE solution for video conferencing.</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International Opportunity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addresses the communications and collaboration needs of users worldwide, and while our international revenue has stabilized in recent quarters, we continue to view international expansion as a meaningful long-term opportunity. Our revenue from the rest of the world (APAC and EMEA) represented 27.8% and 28.3% of our total revenue for the three months ended April 30, 2025 and 2024, respectively.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following key business metrics to measure our performance, identify trends, formulate financial projections, and make strategic decisions.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Customers Contributing More Than $100,000 of Trailing 12 Months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growing the number of customers that contribute more than $100,000 of trailing 12 months revenue as it is a measure of our ability to scale with our customers and attract larger organizations to Zoom. Revenue from these customers represented 31.9% and 29.9% of total revenue for the three months ended April 30, 2025 and 2024, respectively. As of April 30, 2025 and 2024, we had 4,192 and 3,883 customers, respectively, that contributed more than $100,000 of trailing 12 months revenue, demonstrating our increasing penetration of larger organizations, including enterprises. These customers are a subset of Enterprise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that free cash flow (“FCF”) is a non-GAAP financial measure that is useful in evaluating our liquidity.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cash flows for the periods presented and a reconciliation of FCF to net cash provided by operating activities, the most directly comparable financial measure calculated in accordance with GAAP:</w:t>
      </w:r>
    </w:p>
    <w:tbl>
      <w:tblPr>
        <w:tblW w:w="6398" w:type="dxa"/>
        <w:jc w:val="left"/>
        <w:tblInd w:w="0" w:type="dxa"/>
        <w:tblLayout w:type="fixed"/>
        <w:tblCellMar>
          <w:top w:w="28" w:type="dxa"/>
          <w:left w:w="28" w:type="dxa"/>
          <w:bottom w:w="28" w:type="dxa"/>
          <w:right w:w="28" w:type="dxa"/>
        </w:tblCellMar>
      </w:tblPr>
      <w:tblGrid>
        <w:gridCol w:w="1297"/>
        <w:gridCol w:w="1142"/>
        <w:gridCol w:w="1145"/>
        <w:gridCol w:w="211"/>
        <w:gridCol w:w="901"/>
        <w:gridCol w:w="109"/>
        <w:gridCol w:w="109"/>
        <w:gridCol w:w="109"/>
        <w:gridCol w:w="109"/>
        <w:gridCol w:w="211"/>
        <w:gridCol w:w="901"/>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(125,130)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(107,824)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(490,530)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(142,451)</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7205"/>
                <wp:effectExtent l="0" t="0" r="0" b="0"/>
                <wp:wrapNone/>
                <wp:docPr id="26" name="Frame2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derive our revenue from subscription agreements with customers for access to our unified communications and collaboration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and collaboration platform. The amount of revenue recognized reflects the consideration that we expect to receive in exchange for these services over the contract term which can include a free period discount.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primarily consists of costs related to hosting our unified communications and collaboration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corporate security and regulatory expenses; and allocated overhead.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(Losses) gains on Strategic Investments,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(Losses) gains on strategic investments, net consist primarily of remeasurement gains or losses on our equity investments.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primarily of interest income and net accretion on our marketable securities and effect of changes in foreign currency exchange rates.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consists primarily of income taxes related to federal, state, and foreign jurisdictions where we conduct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97205"/>
                <wp:effectExtent l="0" t="0" r="0" b="0"/>
                <wp:wrapNone/>
                <wp:docPr id="27" name="Frame2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selected condensed consolidated statements of operations data and such data as a percentage of revenue for each of the periods indicated:</w:t>
      </w:r>
    </w:p>
    <w:tbl>
      <w:tblPr>
        <w:tblW w:w="8245" w:type="dxa"/>
        <w:jc w:val="left"/>
        <w:tblInd w:w="0" w:type="dxa"/>
        <w:tblLayout w:type="fixed"/>
        <w:tblCellMar>
          <w:top w:w="28" w:type="dxa"/>
          <w:left w:w="28" w:type="dxa"/>
          <w:bottom w:w="28" w:type="dxa"/>
          <w:right w:w="28" w:type="dxa"/>
        </w:tblCellMar>
      </w:tblPr>
      <w:tblGrid>
        <w:gridCol w:w="1751"/>
        <w:gridCol w:w="1544"/>
        <w:gridCol w:w="1550"/>
        <w:gridCol w:w="211"/>
        <w:gridCol w:w="976"/>
        <w:gridCol w:w="109"/>
        <w:gridCol w:w="109"/>
        <w:gridCol w:w="109"/>
        <w:gridCol w:w="109"/>
        <w:gridCol w:w="211"/>
        <w:gridCol w:w="976"/>
        <w:gridCol w:w="109"/>
        <w:gridCol w:w="109"/>
        <w:gridCol w:w="109"/>
        <w:gridCol w:w="109"/>
        <w:gridCol w:w="154"/>
      </w:tblGrid>
      <w:tr>
        <w:trPr/>
        <w:tc>
          <w:tcPr>
            <w:tcW w:w="175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revenue </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Research and development </w:t>
            </w:r>
            <w:r>
              <w:rPr>
                <w:rFonts w:ascii="Times New Roman;sans-serif" w:hAnsi="Times New Roman;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color w:val="000000"/>
              </w:rPr>
              <w:t xml:space="preserve"> </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color w:val="000000"/>
              </w:rPr>
              <w:t xml:space="preserve"> </w:t>
            </w:r>
            <w:r>
              <w:rPr>
                <w:rFonts w:ascii="Times New Roman;sans-serif" w:hAnsi="Times New Roman;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strategic investments,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stock-based compensation expense as follows: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229,425 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6852" w:type="dxa"/>
        <w:jc w:val="left"/>
        <w:tblInd w:w="0" w:type="dxa"/>
        <w:tblLayout w:type="fixed"/>
        <w:tblCellMar>
          <w:top w:w="28" w:type="dxa"/>
          <w:left w:w="28" w:type="dxa"/>
          <w:bottom w:w="28" w:type="dxa"/>
          <w:right w:w="28" w:type="dxa"/>
        </w:tblCellMar>
      </w:tblPr>
      <w:tblGrid>
        <w:gridCol w:w="1307"/>
        <w:gridCol w:w="1152"/>
        <w:gridCol w:w="1155"/>
        <w:gridCol w:w="308"/>
        <w:gridCol w:w="308"/>
        <w:gridCol w:w="476"/>
        <w:gridCol w:w="191"/>
        <w:gridCol w:w="191"/>
        <w:gridCol w:w="191"/>
        <w:gridCol w:w="308"/>
        <w:gridCol w:w="308"/>
        <w:gridCol w:w="476"/>
        <w:gridCol w:w="109"/>
        <w:gridCol w:w="109"/>
        <w:gridCol w:w="109"/>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a percentage of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strategic investments,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7205"/>
                <wp:effectExtent l="0" t="0" r="0" b="0"/>
                <wp:wrapNone/>
                <wp:docPr id="28" name="Frame2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Comparison of the Three Months Ended April 30, 2025 and 2024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w:t>
      </w:r>
    </w:p>
    <w:tbl>
      <w:tblPr>
        <w:tblW w:w="5037" w:type="dxa"/>
        <w:jc w:val="left"/>
        <w:tblInd w:w="0" w:type="dxa"/>
        <w:tblLayout w:type="fixed"/>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976"/>
        <w:gridCol w:w="109"/>
        <w:gridCol w:w="109"/>
        <w:gridCol w:w="109"/>
        <w:gridCol w:w="109"/>
        <w:gridCol w:w="203"/>
        <w:gridCol w:w="203"/>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1,174,715 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rPr>
        <w:t>Revenue for the three months ended April 30, 2025, increased by $33.5 million, or 2.9%, compared to the three months ended April 30, 2024. The</w:t>
      </w:r>
      <w:r>
        <w:rPr>
          <w:color w:val="000000"/>
        </w:rPr>
        <w:t xml:space="preserve"> </w:t>
      </w:r>
      <w:r>
        <w:rPr>
          <w:rFonts w:ascii="Times New Roman;sans-serif" w:hAnsi="Times New Roman;sans-serif"/>
          <w:b w:val="false"/>
          <w:color w:val="000000"/>
          <w:sz w:val="20"/>
        </w:rPr>
        <w:t xml:space="preserve">increase was driven by a 5.9% increase in revenue from Enterprise customers, of which 33.7% and 66.3% were from existing and new customers, respectively, partially offset by a </w:t>
      </w:r>
      <w:r>
        <w:rPr>
          <w:rFonts w:ascii="Times New Roman;sans-serif" w:hAnsi="Times New Roman;sans-serif"/>
          <w:b w:val="false"/>
          <w:color w:val="231F20"/>
          <w:sz w:val="20"/>
        </w:rPr>
        <w:t>1.2%</w:t>
      </w:r>
      <w:r>
        <w:rPr>
          <w:color w:val="000000"/>
        </w:rPr>
        <w:t xml:space="preserve"> </w:t>
      </w:r>
      <w:r>
        <w:rPr>
          <w:rFonts w:ascii="Times New Roman;sans-serif" w:hAnsi="Times New Roman;sans-serif"/>
          <w:b w:val="false"/>
          <w:color w:val="000000"/>
          <w:sz w:val="20"/>
        </w:rPr>
        <w:t>decline in revenue from Online customers.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5614" w:type="dxa"/>
        <w:jc w:val="left"/>
        <w:tblInd w:w="0" w:type="dxa"/>
        <w:tblLayout w:type="fixed"/>
        <w:tblCellMar>
          <w:top w:w="28" w:type="dxa"/>
          <w:left w:w="28" w:type="dxa"/>
          <w:bottom w:w="28" w:type="dxa"/>
          <w:right w:w="28" w:type="dxa"/>
        </w:tblCellMar>
      </w:tblPr>
      <w:tblGrid>
        <w:gridCol w:w="504"/>
        <w:gridCol w:w="444"/>
        <w:gridCol w:w="446"/>
        <w:gridCol w:w="211"/>
        <w:gridCol w:w="826"/>
        <w:gridCol w:w="271"/>
        <w:gridCol w:w="109"/>
        <w:gridCol w:w="109"/>
        <w:gridCol w:w="109"/>
        <w:gridCol w:w="211"/>
        <w:gridCol w:w="826"/>
        <w:gridCol w:w="271"/>
        <w:gridCol w:w="109"/>
        <w:gridCol w:w="109"/>
        <w:gridCol w:w="109"/>
        <w:gridCol w:w="203"/>
        <w:gridCol w:w="203"/>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278,402 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273,302 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896,313 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867,932 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rPr>
        <w:t xml:space="preserve">Cost of revenue for the three months ended April 30, 2025, increased by $5.1 million, or 1.9%, compared to the three months ended April 30, 2024. The </w:t>
      </w:r>
      <w:r>
        <w:rPr>
          <w:rFonts w:ascii="Times New Roman;sans-serif" w:hAnsi="Times New Roman;sans-serif"/>
          <w:b w:val="false"/>
          <w:color w:val="000000"/>
          <w:sz w:val="20"/>
        </w:rPr>
        <w:t>increase</w:t>
      </w:r>
      <w:r>
        <w:rPr>
          <w:color w:val="231F20"/>
        </w:rPr>
        <w:t xml:space="preserve"> </w:t>
      </w:r>
      <w:r>
        <w:rPr>
          <w:rFonts w:ascii="Times New Roman;sans-serif" w:hAnsi="Times New Roman;sans-serif"/>
          <w:b w:val="false"/>
          <w:color w:val="231F20"/>
          <w:sz w:val="20"/>
        </w:rPr>
        <w:t xml:space="preserve">was primarily due to increased hosting and infrastructure costs partially offset by a $4.1 million </w:t>
      </w:r>
      <w:r>
        <w:rPr>
          <w:rFonts w:ascii="Times New Roman;sans-serif" w:hAnsi="Times New Roman;sans-serif"/>
          <w:b w:val="false"/>
          <w:color w:val="000000"/>
          <w:sz w:val="20"/>
        </w:rPr>
        <w:t xml:space="preserve">decrease </w:t>
      </w:r>
      <w:r>
        <w:rPr>
          <w:rFonts w:ascii="Times New Roman;sans-serif" w:hAnsi="Times New Roman;sans-serif"/>
          <w:b w:val="false"/>
          <w:color w:val="231F20"/>
          <w:sz w:val="20"/>
        </w:rPr>
        <w:t>in stock-based compensation. The increase in hosting costs was due to the increased use of AI functionality along with investments to upgrade our data center backbone.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Gross margin increased to 76.3% for the three months ended </w:t>
      </w:r>
      <w:r>
        <w:rPr>
          <w:rFonts w:ascii="Times New Roman;sans-serif" w:hAnsi="Times New Roman;sans-serif"/>
          <w:b w:val="false"/>
          <w:color w:val="231F20"/>
          <w:sz w:val="20"/>
        </w:rPr>
        <w:t xml:space="preserve">April 30, 2025, from </w:t>
      </w:r>
      <w:r>
        <w:rPr>
          <w:rFonts w:ascii="Times New Roman;sans-serif" w:hAnsi="Times New Roman;sans-serif"/>
          <w:b w:val="false"/>
          <w:color w:val="000000"/>
          <w:sz w:val="20"/>
        </w:rPr>
        <w:t xml:space="preserve">76.1% for the three months ended </w:t>
      </w:r>
      <w:r>
        <w:rPr>
          <w:rFonts w:ascii="Times New Roman;sans-serif" w:hAnsi="Times New Roman;sans-serif"/>
          <w:b w:val="false"/>
          <w:color w:val="231F20"/>
          <w:sz w:val="20"/>
        </w:rPr>
        <w:t>April 30, 2024. The increase in gross margin was mainly due to the decrease in stock-based compensation.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6279"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39"/>
        <w:gridCol w:w="241"/>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rPr>
        <w:t xml:space="preserve">Research and development expense for the three months ended April 30, 2025 decreased by $0.1 million, or 0.1%, compared to the three months ended April 30, 2024. The decrease was driven by a $9.6 million </w:t>
      </w:r>
      <w:r>
        <w:rPr>
          <w:rFonts w:ascii="Times New Roman;sans-serif" w:hAnsi="Times New Roman;sans-serif"/>
          <w:b w:val="false"/>
          <w:color w:val="000000"/>
          <w:sz w:val="20"/>
        </w:rPr>
        <w:t xml:space="preserve">decrease in stock-based compensation largely offset by our continued investment in AI-innovation, including a </w:t>
      </w:r>
      <w:r>
        <w:rPr>
          <w:rFonts w:ascii="Times New Roman;sans-serif" w:hAnsi="Times New Roman;sans-serif"/>
          <w:b w:val="false"/>
          <w:color w:val="231F20"/>
          <w:sz w:val="20"/>
        </w:rPr>
        <w:t xml:space="preserve">$3.7 million </w:t>
      </w:r>
      <w:r>
        <w:rPr>
          <w:rFonts w:ascii="Times New Roman;sans-serif" w:hAnsi="Times New Roman;sans-serif"/>
          <w:b w:val="false"/>
          <w:color w:val="000000"/>
          <w:sz w:val="20"/>
        </w:rPr>
        <w:t xml:space="preserve">increase </w:t>
      </w:r>
      <w:r>
        <w:rPr>
          <w:rFonts w:ascii="Times New Roman;sans-serif" w:hAnsi="Times New Roman;sans-serif"/>
          <w:b w:val="false"/>
          <w:color w:val="231F20"/>
          <w:sz w:val="20"/>
        </w:rPr>
        <w:t>in personnel-related expenses as a result of increased headcount, as well as costs from AI-related software and facilities used in development.</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5724" w:type="dxa"/>
        <w:jc w:val="left"/>
        <w:tblInd w:w="0" w:type="dxa"/>
        <w:tblLayout w:type="fixed"/>
        <w:tblCellMar>
          <w:top w:w="28" w:type="dxa"/>
          <w:left w:w="28" w:type="dxa"/>
          <w:bottom w:w="28" w:type="dxa"/>
          <w:right w:w="28" w:type="dxa"/>
        </w:tblCellMar>
      </w:tblPr>
      <w:tblGrid>
        <w:gridCol w:w="634"/>
        <w:gridCol w:w="558"/>
        <w:gridCol w:w="562"/>
        <w:gridCol w:w="211"/>
        <w:gridCol w:w="826"/>
        <w:gridCol w:w="109"/>
        <w:gridCol w:w="109"/>
        <w:gridCol w:w="109"/>
        <w:gridCol w:w="109"/>
        <w:gridCol w:w="211"/>
        <w:gridCol w:w="826"/>
        <w:gridCol w:w="109"/>
        <w:gridCol w:w="109"/>
        <w:gridCol w:w="109"/>
        <w:gridCol w:w="109"/>
        <w:gridCol w:w="239"/>
        <w:gridCol w:w="241"/>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rPr>
        <w:t>Sales and marketing expense for the three months ended April 30, 2025, decreased by $1.0 million, or 0.3%, compared to the three months ended April 30, 2024. The decrease was primarily due to a $8.8 million</w:t>
      </w:r>
      <w:r>
        <w:rPr>
          <w:color w:val="000000"/>
        </w:rPr>
        <w:t xml:space="preserve"> </w:t>
      </w:r>
      <w:r>
        <w:rPr>
          <w:rFonts w:ascii="Times New Roman;sans-serif" w:hAnsi="Times New Roman;sans-serif"/>
          <w:b w:val="false"/>
          <w:color w:val="000000"/>
          <w:sz w:val="20"/>
        </w:rPr>
        <w:t xml:space="preserve">decrease in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97205"/>
                <wp:effectExtent l="0" t="0" r="0" b="0"/>
                <wp:wrapNone/>
                <wp:docPr id="29" name="Frame2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 xml:space="preserve">offset by a </w:t>
      </w:r>
      <w:r>
        <w:rPr>
          <w:rFonts w:ascii="Times New Roman;sans-serif" w:hAnsi="Times New Roman;sans-serif"/>
          <w:b w:val="false"/>
          <w:color w:val="231F20"/>
          <w:sz w:val="20"/>
        </w:rPr>
        <w:t>$4.0 million</w:t>
      </w:r>
      <w:r>
        <w:rPr>
          <w:color w:val="000000"/>
        </w:rPr>
        <w:t xml:space="preserve"> </w:t>
      </w:r>
      <w:r>
        <w:rPr>
          <w:rFonts w:ascii="Times New Roman;sans-serif" w:hAnsi="Times New Roman;sans-serif"/>
          <w:b w:val="false"/>
          <w:color w:val="000000"/>
          <w:sz w:val="20"/>
        </w:rPr>
        <w:t>increase in salaries, payroll taxes and benefits, along with costs to support our customer engagement and growth initiatives.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6279" w:type="dxa"/>
        <w:jc w:val="left"/>
        <w:tblInd w:w="0" w:type="dxa"/>
        <w:tblLayout w:type="fixed"/>
        <w:tblCellMar>
          <w:top w:w="28" w:type="dxa"/>
          <w:left w:w="28" w:type="dxa"/>
          <w:bottom w:w="28" w:type="dxa"/>
          <w:right w:w="28" w:type="dxa"/>
        </w:tblCellMar>
      </w:tblPr>
      <w:tblGrid>
        <w:gridCol w:w="837"/>
        <w:gridCol w:w="735"/>
        <w:gridCol w:w="737"/>
        <w:gridCol w:w="211"/>
        <w:gridCol w:w="826"/>
        <w:gridCol w:w="109"/>
        <w:gridCol w:w="109"/>
        <w:gridCol w:w="109"/>
        <w:gridCol w:w="109"/>
        <w:gridCol w:w="211"/>
        <w:gridCol w:w="826"/>
        <w:gridCol w:w="109"/>
        <w:gridCol w:w="109"/>
        <w:gridCol w:w="109"/>
        <w:gridCol w:w="109"/>
        <w:gridCol w:w="239"/>
        <w:gridCol w:w="241"/>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rPr>
        <w:t>General and administrative expense for the three months ended April 30, 2025, decreased by $9.0 million, or 8.1%, compared to the three months ended April 30, 2024. The decrease was primarily due</w:t>
      </w:r>
      <w:r>
        <w:rPr>
          <w:color w:val="000000"/>
        </w:rPr>
        <w:t xml:space="preserve"> </w:t>
      </w:r>
      <w:r>
        <w:rPr>
          <w:rFonts w:ascii="Times New Roman;sans-serif" w:hAnsi="Times New Roman;sans-serif"/>
          <w:b w:val="false"/>
          <w:color w:val="231F20"/>
          <w:sz w:val="20"/>
        </w:rPr>
        <w:t>a $7.3 million decrease in personnel-related expenses, including a $5.3 million decrease in stock-based compe</w:t>
      </w:r>
      <w:r>
        <w:rPr>
          <w:rFonts w:ascii="Times New Roman;sans-serif" w:hAnsi="Times New Roman;sans-serif"/>
          <w:b w:val="false"/>
          <w:color w:val="000000"/>
          <w:sz w:val="20"/>
        </w:rPr>
        <w:t>nsation and a $2.0 million</w:t>
      </w:r>
      <w:r>
        <w:rPr>
          <w:color w:val="231F20"/>
        </w:rPr>
        <w:t xml:space="preserve"> </w:t>
      </w:r>
      <w:r>
        <w:rPr>
          <w:rFonts w:ascii="Times New Roman;sans-serif" w:hAnsi="Times New Roman;sans-serif"/>
          <w:b w:val="false"/>
          <w:color w:val="231F20"/>
          <w:sz w:val="20"/>
        </w:rPr>
        <w:t>decrease</w:t>
      </w:r>
      <w:r>
        <w:rPr>
          <w:color w:val="000000"/>
        </w:rPr>
        <w:t xml:space="preserve"> </w:t>
      </w:r>
      <w:r>
        <w:rPr>
          <w:rFonts w:ascii="Times New Roman;sans-serif" w:hAnsi="Times New Roman;sans-serif"/>
          <w:b w:val="false"/>
          <w:color w:val="000000"/>
          <w:sz w:val="20"/>
        </w:rPr>
        <w:t>in salaries, payroll taxes and benefits.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(Losses) Gains on Strategic Investments, Net</w:t>
      </w:r>
    </w:p>
    <w:tbl>
      <w:tblPr>
        <w:tblW w:w="7659" w:type="dxa"/>
        <w:jc w:val="left"/>
        <w:tblInd w:w="0" w:type="dxa"/>
        <w:tblLayout w:type="fixed"/>
        <w:tblCellMar>
          <w:top w:w="28" w:type="dxa"/>
          <w:left w:w="28" w:type="dxa"/>
          <w:bottom w:w="28" w:type="dxa"/>
          <w:right w:w="28" w:type="dxa"/>
        </w:tblCellMar>
      </w:tblPr>
      <w:tblGrid>
        <w:gridCol w:w="1308"/>
        <w:gridCol w:w="1150"/>
        <w:gridCol w:w="1156"/>
        <w:gridCol w:w="211"/>
        <w:gridCol w:w="796"/>
        <w:gridCol w:w="109"/>
        <w:gridCol w:w="109"/>
        <w:gridCol w:w="109"/>
        <w:gridCol w:w="109"/>
        <w:gridCol w:w="211"/>
        <w:gridCol w:w="721"/>
        <w:gridCol w:w="109"/>
        <w:gridCol w:w="109"/>
        <w:gridCol w:w="109"/>
        <w:gridCol w:w="109"/>
        <w:gridCol w:w="344"/>
        <w:gridCol w:w="346"/>
        <w:gridCol w:w="54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6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strategic investments,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Losses on strategic investments, net for the three months ended April 30, 2025 were primarily driven by changes in the fair value of our publicly held securities, while gains on strategic investments, net, for the three months ended April 30, 2024 were primarily driven by changes in the valuations of our privately held securities.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tbl>
      <w:tblPr>
        <w:tblW w:w="5351" w:type="dxa"/>
        <w:jc w:val="left"/>
        <w:tblInd w:w="0" w:type="dxa"/>
        <w:tblLayout w:type="fixed"/>
        <w:tblCellMar>
          <w:top w:w="28" w:type="dxa"/>
          <w:left w:w="28" w:type="dxa"/>
          <w:bottom w:w="28" w:type="dxa"/>
          <w:right w:w="28" w:type="dxa"/>
        </w:tblCellMar>
      </w:tblPr>
      <w:tblGrid>
        <w:gridCol w:w="564"/>
        <w:gridCol w:w="497"/>
        <w:gridCol w:w="499"/>
        <w:gridCol w:w="211"/>
        <w:gridCol w:w="721"/>
        <w:gridCol w:w="109"/>
        <w:gridCol w:w="109"/>
        <w:gridCol w:w="109"/>
        <w:gridCol w:w="109"/>
        <w:gridCol w:w="211"/>
        <w:gridCol w:w="721"/>
        <w:gridCol w:w="109"/>
        <w:gridCol w:w="109"/>
        <w:gridCol w:w="109"/>
        <w:gridCol w:w="109"/>
        <w:gridCol w:w="255"/>
        <w:gridCol w:w="256"/>
        <w:gridCol w:w="54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rPr>
        <w:t xml:space="preserve">Other income, net for the three months ended April 30, 2025, increased by $16.2 million, or 22.6%, compared to the three months ended April 30, 2024. The increase was due to $12.5 million </w:t>
      </w:r>
      <w:r>
        <w:rPr>
          <w:rFonts w:ascii="Times New Roman;sans-serif" w:hAnsi="Times New Roman;sans-serif"/>
          <w:b w:val="false"/>
          <w:color w:val="000000"/>
          <w:sz w:val="20"/>
        </w:rPr>
        <w:t xml:space="preserve">increase </w:t>
      </w:r>
      <w:r>
        <w:rPr>
          <w:rFonts w:ascii="Times New Roman;sans-serif" w:hAnsi="Times New Roman;sans-serif"/>
          <w:b w:val="false"/>
          <w:color w:val="231F20"/>
          <w:sz w:val="20"/>
        </w:rPr>
        <w:t xml:space="preserve">from </w:t>
      </w:r>
      <w:r>
        <w:rPr>
          <w:rFonts w:ascii="Times New Roman;sans-serif" w:hAnsi="Times New Roman;sans-serif"/>
          <w:b w:val="false"/>
          <w:color w:val="000000"/>
          <w:sz w:val="20"/>
        </w:rPr>
        <w:t xml:space="preserve">changes in foreign currency exchange rates and </w:t>
      </w:r>
      <w:r>
        <w:rPr>
          <w:rFonts w:ascii="Times New Roman;sans-serif" w:hAnsi="Times New Roman;sans-serif"/>
          <w:b w:val="false"/>
          <w:color w:val="231F20"/>
          <w:sz w:val="20"/>
        </w:rPr>
        <w:t xml:space="preserve">a $3.8 million </w:t>
      </w:r>
      <w:r>
        <w:rPr>
          <w:rFonts w:ascii="Times New Roman;sans-serif" w:hAnsi="Times New Roman;sans-serif"/>
          <w:b w:val="false"/>
          <w:color w:val="000000"/>
          <w:sz w:val="20"/>
        </w:rPr>
        <w:t>increase</w:t>
      </w:r>
      <w:r>
        <w:rPr>
          <w:color w:val="231F20"/>
        </w:rPr>
        <w:t xml:space="preserve"> </w:t>
      </w:r>
      <w:r>
        <w:rPr>
          <w:rFonts w:ascii="Times New Roman;sans-serif" w:hAnsi="Times New Roman;sans-serif"/>
          <w:b w:val="false"/>
          <w:color w:val="231F20"/>
          <w:sz w:val="20"/>
        </w:rPr>
        <w:t>in investment yield from cash and marketable securities.</w: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6146" w:type="dxa"/>
        <w:jc w:val="left"/>
        <w:tblInd w:w="0" w:type="dxa"/>
        <w:tblLayout w:type="fixed"/>
        <w:tblCellMar>
          <w:top w:w="28" w:type="dxa"/>
          <w:left w:w="28" w:type="dxa"/>
          <w:bottom w:w="28" w:type="dxa"/>
          <w:right w:w="28" w:type="dxa"/>
        </w:tblCellMar>
      </w:tblPr>
      <w:tblGrid>
        <w:gridCol w:w="825"/>
        <w:gridCol w:w="726"/>
        <w:gridCol w:w="729"/>
        <w:gridCol w:w="211"/>
        <w:gridCol w:w="721"/>
        <w:gridCol w:w="109"/>
        <w:gridCol w:w="109"/>
        <w:gridCol w:w="109"/>
        <w:gridCol w:w="109"/>
        <w:gridCol w:w="211"/>
        <w:gridCol w:w="721"/>
        <w:gridCol w:w="109"/>
        <w:gridCol w:w="109"/>
        <w:gridCol w:w="109"/>
        <w:gridCol w:w="109"/>
        <w:gridCol w:w="293"/>
        <w:gridCol w:w="293"/>
        <w:gridCol w:w="54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Provision for income taxes for the three months ended April 30, 2025 decreased by $14.5 million, or 19.2%, compared to the three months ended April 30, 2024. The year-over-year change was</w:t>
      </w:r>
      <w:r>
        <w:rPr>
          <w:color w:val="231F20"/>
        </w:rPr>
        <w:t xml:space="preserve"> </w:t>
      </w:r>
      <w:r>
        <w:rPr>
          <w:rFonts w:ascii="Times New Roman;sans-serif" w:hAnsi="Times New Roman;sans-serif"/>
          <w:b w:val="false"/>
          <w:color w:val="000000"/>
          <w:sz w:val="20"/>
        </w:rPr>
        <w:t>primarily due to the decrease in tax shortfalls on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2025, our principal sources of liquidity were cash, cash equivalents, and marketable securities of $7.8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financed our operations primarily through income from operations and sales of equity securities. Cash from operations could also be affected by various risks and uncertainties, including, but not limited to, macroeconomic factors,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7205"/>
                <wp:effectExtent l="0" t="0" r="0" b="0"/>
                <wp:wrapNone/>
                <wp:docPr id="30" name="Frame3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geopolitical conflicts, tariffs and trade tensions, inflationary pressures, interest rate fluctuations, and the fluctuations in foreign currency exchange rates. These factors and other risks detailed in the section titled “Risk Factors” could impact the timing of cash collections from our customers.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material cash requirements from known contractual and other obligations from those disclosed in our Management’s Discussion and Analysis of Financial Condition and Results of Operations, included in our Annual Report on Form 10-K for the year ended January 31, 2025, filed with the SEC on February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6279" w:type="dxa"/>
        <w:jc w:val="left"/>
        <w:tblInd w:w="0" w:type="dxa"/>
        <w:tblLayout w:type="fixed"/>
        <w:tblCellMar>
          <w:top w:w="28" w:type="dxa"/>
          <w:left w:w="28" w:type="dxa"/>
          <w:bottom w:w="28" w:type="dxa"/>
          <w:right w:w="28" w:type="dxa"/>
        </w:tblCellMar>
      </w:tblPr>
      <w:tblGrid>
        <w:gridCol w:w="1254"/>
        <w:gridCol w:w="1104"/>
        <w:gridCol w:w="1107"/>
        <w:gridCol w:w="211"/>
        <w:gridCol w:w="901"/>
        <w:gridCol w:w="109"/>
        <w:gridCol w:w="109"/>
        <w:gridCol w:w="109"/>
        <w:gridCol w:w="109"/>
        <w:gridCol w:w="211"/>
        <w:gridCol w:w="90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$489.3 million for the three months ended April 30, 2025, compared to $588.2 million for the three months ended April 30, 2024. The decrease in operating cash flow was primarily due to the first quarter estimated tax payments for both federal and state jurisdictions during the three months ended April 30, 2025. In the prior fiscal year, these payments were made during the three months ended July 31, 2024.</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Net cash used in investing activities of $125.1 million</w:t>
      </w:r>
      <w:r>
        <w:rPr>
          <w:color w:val="231F20"/>
        </w:rPr>
        <w:t xml:space="preserve"> </w:t>
      </w:r>
      <w:r>
        <w:rPr>
          <w:rFonts w:ascii="Times New Roman;sans-serif" w:hAnsi="Times New Roman;sans-serif"/>
          <w:b w:val="false"/>
          <w:color w:val="000000"/>
          <w:sz w:val="20"/>
        </w:rPr>
        <w:t>for the three months ended April 30, 2025 was due to net purchases of marketable securities of $99.2 million and purchases of property and equipment of $25.9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$107.8 million for the three months ended April 30, 2024 was due to net purchases of marketable securities of $91.0 million, purchases of property and equipment of $18.5 million, and purchases of strategic investments of $3.0 million, partially offset by proceeds from strategic investments of $4.7 million.</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of $490.5 million for the three months ended April 30, 2025 was primarily due to cash paid for repurchases of common stock of $418.0 million and taxes paid related to net share settlement of equity awards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7205"/>
                <wp:effectExtent l="0" t="0" r="0" b="0"/>
                <wp:wrapNone/>
                <wp:docPr id="31" name="Frame3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$82.2 million, partially offset by proceeds from employee equity transactions to be remitted to employees and tax authorities, net, of $8.7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$142.5 million for the three months ended April 30, 2024 was primarily due to cash paid for repurchases of common stock of $150.0 million, partially offset by proceeds from employee equity transactions to be remitted to employees and tax authorities, net, of $6.6 million.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our Board of Directors authorized a stock repurchase program of up to $1.5 billion of our Class A common stock. In November 2024, our Board of Directors authorized the repurchase of an additional $1.2 billion of our outstanding Class A common stock. Repurchases of our Class A common stock may be effected, from time to time, either on the open market (including pre-set trading plans), in privately negotiated transactions, and other transactions in accordance with applicable securities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2025, we repurchased and subsequently retired 5,561,920 shares of our Class A common stock for an aggregate amount of $418.0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estimates as compared to the critical accounting estimates described in our Management’s Discussion and Analysis of Financial Condition and Results of Operations, included in our Annual Report on Form 10-K for the year ended January 31, 2025, filed with the SEC on February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3.    QUALITATIVE AND QUANTITATIVE DISCLOSURES ABOUT MARKET RISK</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Foreign Currency and Exchange Risk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majority of our cash generated from revenue is denominated in U.S. dollars, with a portion of our revenue from amounts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For the three months ended </w:t>
      </w:r>
      <w:r>
        <w:rPr>
          <w:rFonts w:ascii="Times New Roman;sans-serif" w:hAnsi="Times New Roman;sans-serif"/>
          <w:b w:val="false"/>
          <w:color w:val="231F20"/>
          <w:sz w:val="20"/>
        </w:rPr>
        <w:t>April 30, 2025</w:t>
      </w:r>
      <w:r>
        <w:rPr>
          <w:color w:val="000000"/>
        </w:rPr>
        <w:t xml:space="preserve"> </w:t>
      </w:r>
      <w:r>
        <w:rPr>
          <w:rFonts w:ascii="Times New Roman;sans-serif" w:hAnsi="Times New Roman;sans-serif"/>
          <w:b w:val="false"/>
          <w:color w:val="000000"/>
          <w:sz w:val="20"/>
        </w:rPr>
        <w:t>and 2024, 19.3% and 19.4% of our revenue, respectively, and 16.5% and 15.6% of our expenses, respectively, were denominated in currencies other than the U.S. dollar. The effect of a hypothetical 10% change in foreign currency exchange rates applicable to our business would not have had a material impact on our historical condensed consolidated financial statements for the three months ended April 30, 2025 and 2024. As the impact of foreign currency exchange rates has not been material to our historical operating results, we have not entered into derivative or hedging transactions, but we may do so in the future if our exposure to foreign currency becomes more significant.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and cash equivalents of $1,228.8 million and marketable securities of $6,564.0 million as of April 30, 2025.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7205"/>
                <wp:effectExtent l="0" t="0" r="0" b="0"/>
                <wp:wrapNone/>
                <wp:docPr id="32" name="Frame3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periods presented would not have had a material impact on our historical condensed consolidated financial statements for the three months ended April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w:t>
      </w:r>
      <w:r>
        <w:rPr>
          <w:rFonts w:ascii="Times New Roman;sans-serif" w:hAnsi="Times New Roman;sans-serif"/>
          <w:b w:val="false"/>
          <w:color w:val="231F20"/>
          <w:sz w:val="20"/>
        </w:rPr>
        <w:t>April 30, 2025</w:t>
      </w:r>
      <w:r>
        <w:rPr>
          <w:rFonts w:ascii="Times New Roman;sans-serif" w:hAnsi="Times New Roman;sans-serif"/>
          <w:b w:val="false"/>
          <w:color w:val="000000"/>
          <w:sz w:val="20"/>
        </w:rPr>
        <w:t>, our disclosure controls and procedures were effective at a reasonable assurance level.</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There has been no change in our internal control over financial reporting (as defined in Rules 13a-15(d) and 15d-15(d) under the Exchange Act) that occurred during the quarter ended </w:t>
      </w:r>
      <w:r>
        <w:rPr>
          <w:rFonts w:ascii="Times New Roman;sans-serif" w:hAnsi="Times New Roman;sans-serif"/>
          <w:b w:val="false"/>
          <w:color w:val="231F20"/>
          <w:sz w:val="20"/>
        </w:rPr>
        <w:t xml:space="preserve">April 30, 2025 </w:t>
      </w:r>
      <w:r>
        <w:rPr>
          <w:rFonts w:ascii="Times New Roman;sans-serif" w:hAnsi="Times New Roman;sans-serif"/>
          <w:b w:val="false"/>
          <w:color w:val="000000"/>
          <w:sz w:val="20"/>
        </w:rPr>
        <w:t>that has materially affected, or is reasonably likely to materially affect, our internal control over financial reporting.</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7205"/>
                <wp:effectExtent l="0" t="0" r="0" b="0"/>
                <wp:wrapNone/>
                <wp:docPr id="33" name="Frame3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this item may be found in Note 6 - “Commitments and Contingencies” in the accompanying notes to the condensed consolidated financial statements included in Part I, Item 1, “Financial Statements” of this Quarterly Report on Form 10-Q, under “Legal Proceedings,”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pStyle w:val="TextBody"/>
        <w:bidi w:val="0"/>
        <w:spacing w:lineRule="auto" w:line="288" w:before="12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upon our ability to attract new customers, and maintain and expand our relationships with our existing customers, including upselling additional products and new product categories to our existing customers and upgrading users from a free plan to one of our paid offerings.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subscription based, and customers are not obligated to, and may choose not to, renew their subscriptions after their existing subscriptions expire. Customers may also terminate or reduce the size of their existing subscriptions. As a result, we cannot provide assurance that customers will renew their subscriptions utilizing the same tier of plan, upgrade to a higher-priced tier, or purchase additional products, if they renew at all. Renewals of subscriptions to our platform may decline or fluctuate because of several factors, such as dissatisfaction with our products and support, a customer no longer having a need for our products, or a belief that a competitor’s product is better, more secure, or less expensive than our products and platform. For example, during the COVID-19 pandemic, we saw a significant increase in usage and subscriptions. As a result, our customer base shifted largely from businesses and enterprises to a mix of businesses, enterprises, and consumers. Following the pandemic, some of our customers reduced or discontinued their use of our platform, and additional customers may do so in the future. Additionally, this shift in mix has resulted and may continue to result in higher non-renewal rates than we have experienced in the past. Renewals are also impacted by reductions in customer information technology spending budgets or a decision by the customer to consolidate their spending budgets on one of our competitor’s platforms, both of which are more likely to occur during periods of high inflation or recessionary or uncertain economic environments. We must continually add new customers and licenses to grow our business and to replace customers and licenses who choose not to continue to use our platform. Finally, any decrease in user satisfaction with our products or support would harm our brand, word-of-mouth referrals, and ability to grow.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encourage customers to purchase additional products and encourage users of our free offering to upgrade to one of our paid offerings by recommending additional features and through in-product prompts and notifications. However, free users may never upgrade to one of our paid offerings. We also seek to expand within organizations by adding new licenses, having workplaces purchase additional products, or expanding the use of our platform into other teams and departments within an organization. If we fail to upsell our customers or upgrade free users to one of our paid offerings or expand the number of licenses within organizations,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revenue growth rate has fluctuated in prior periods, and may continue to decline in future periods.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has fluctuated in prior periods. You should not rely on the revenue growth of any prior quarterly or annual period as an indication of our future performance. There are no assurances we will be able to sustain our revenue growth in future periods, and our revenue growth rate may continue to remain flat or decline in future periods. Many factors have and may contribute to declines in our growth rate, including higher market penetration, increased competition, macroeconomic conditions, such as inflation, recessionary or uncertain economic environments, fluctuating foreign currency exchange rates, slowing demand for our platform, a lower than anticipated capitalization on growth opportunities, and the maturation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7205"/>
                <wp:effectExtent l="0" t="0" r="0" b="0"/>
                <wp:wrapNone/>
                <wp:docPr id="34" name="Frame3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business, among others. Our growth rate could adversely affect investors’ perceptions of our business and the trading price of our Class A common stock could be adversely affected.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Interruptions, delays, or outages in service from our co-located data centers or cloud hosting services and a variety of other factors, would impair, and in the past have impaired, the delivery of our services, require us to issue credits or pay penalties,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serve our users from various co-located data centers located throughout the world. We also utilize cloud hosting services such as Amazon Web Services and Oracle Cloud for the hosting of certain critical aspects of our business and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(including cloud hosting)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to terminate their subscriptions and adversely affect our ability to attract new customers. Our ability to attract and retain customers and licenses depends on our ability to provide customers and users with a highly reliable platform and even minor interruptions or delays in our services could harm our business.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Additionally, if our data centers or cloud hosting services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co-located data centers throughout the world to meet increased demand, but we may be unable to bring additional data centers online in a timely manner, including as a result of current shortages for certain parts, such as servers.</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control, or in some cases have limited control over, the operation of the co-located data center facilities and cloud hosting services we use, and they are vulnerable to damage or interruption from human error; intentional bad acts; earthquakes; floods; fires; hurricanes; war; terrorist attacks; power losses; hardware failures; systems failures; telecommunications failures; disease; and other public health related measures, any of which could disrupt our service. In the event of significant physical damage to one of these data centers or disruption of the cloud hosting services we use, it may take a significant period of time to achieve full resumption of our services and our disaster recovery planning may not account for all eventualities. Despite precautions taken at these data center facilities, the occurrence of a natural disaster, an act of terrorism, or other act of malfeasance, a decision to close the facilities without adequate notice or other unanticipated problems at the facilities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operate in competitive markets, and we must continue to compete effectively.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communication and collaboration technologies platforms is competitive and rapidly changing and includes companies ranging from new market entrants to hyperscalers that provide technologies to improve communication and collaboration technologies platforms either as bundled solutions or standalone products. Given the range of companies in this space, maintaining an open and robust marketplace with fair competition is important. Certain features of our current platform compete in the communication and collaboration technologies market with products offered by:</w:t>
      </w:r>
    </w:p>
    <w:p>
      <w:pPr>
        <w:pStyle w:val="TextBody"/>
        <w:bidi w:val="0"/>
        <w:spacing w:before="120" w:after="283"/>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bundled productivity suite providers with communication offerings, including Microsoft 365 (with Teams) and Google Workspace (with Meet);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legacy web-based meeting providers, including Cisco Webex and GoTo;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UCaaS and legacy PBX providers, including Avaya, RingCentral, and 8x8;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consumer-facing platforms that can support small- or medium-sized businesses, including Amazon, Apple, and Facebook.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205"/>
                <wp:effectExtent l="0" t="0" r="0" b="0"/>
                <wp:wrapNone/>
                <wp:docPr id="35" name="Frame3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large established companies may also make investments in video communications tools. In addition, as we introduce new products and services into our platform, and with the introduction of new technologies and market entrants, including AI, we expect competition to continue to intensify.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we launched Zoom Contact Center, an omnichannel contact center solution that is optimized for video, which competes against companies that offer similar services, such as Five9, Genesys, and NICE inContact, and new competitors that may enter that market in the future. As we continue to build out our platform, we may face increased competition against companies that offer similar services and new competitors that may enter that market in the future. During the COVID-19 pandemic, we saw a significant increase in usage and subscriptions from smaller customers, many of whom are consumers or small and medium-sized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customers and partner relationships; more third-party integrations; greater accessibility across devices and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needs. In some cases, we have been forced to engage in price-cutting initiatives or other discounts to attract and retain customers in response to competitive pressures, and may have to do so in the future. We, on occasion, offer customers a free period of time at the beginning of the subscription term that can result in deferred billings or long-term accounts receivable and increase the risk of loss on uncollected accounts receivable.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results have fluctuated and may in the future fluctuate significantly and may not fully reflect the underlying performance of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Fluctuations in our results may negatively impact the value of our securities. Factors that may cause fluctuations in our results of operations include, without limitation, those listed below:</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retain and upgrade customers to higher-priced plans;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new customers and upgrade free users to one of our paid offerings;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and retain employees, in particular those responsible for the selling or marketing of our platform;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develop, and retain talented sales personnel who are able to achieve desired productivity levels in a reasonable period of time and provide sales leadership in areas in which we are expanding our sales and marketing efforts;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way we organize and compensate our sales teams;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expenses and recognition of revenue;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increase sales to large organizations;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length of our sales cycles and linearity of our bookings, especially with respect to sales to large enterprises and highly regulated industries, including financial services and U.S. federal and state and foreign governmental agencies;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7205"/>
                <wp:effectExtent l="0" t="0" r="0" b="0"/>
                <wp:wrapNone/>
                <wp:docPr id="36" name="Frame3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timing and effectiveness of new sales and marketing initiatives;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our pricing policies or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and retain experienced research and development personnel to design new products, features, and functionality that meet our privacy and security standards;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and success of new products, features, and functionality by us or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interruptions or delays in our service, network outages, or actual, alleged, or perceived privacy violations or issues or security vulnerabilities, incidents, or breaches;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lawsuits, regulatory actions or investigations, legislator scrutiny, or negative publicity arising from actual, alleged, or perceived privacy violations or issues or security vulnerabilities, incidents, or breaches;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competitive dynamics of our industry, including consolidation among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laws and regulations that impact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large indemnification payments to our users or other third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expenses related to any future acquisitions;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and market conditions.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may be significantly affected by changes in the economy, including any resulting effect on consumer or business spending.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may be significantly affected by changes in the economy, such as high inflation and the responses by central banking authorities to control such inflation, recessionary or uncertain environments, fluctuations in the foreign currency exchange rates and geopolitical tensions and military conflicts, including the ongoing conflicts between Russia and Ukraine and in the Middle East, and tariffs, the threat of new or increased tariffs and trade tensions, including the United States' ongoing trade disputes with China and other countries. While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have experienced and may continue to experience a loss of users and customers, as well as a reduction in demand for our platform,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Moreover, we have lost and may continue to lose customers as a result of such customers ceasing to do business, and we have experienced and may continue to experience a material increase in longer payment cycles and greater difficulty in collecting accounts receivable from certain customers. These issues may continue in the future if current economic conditions continue or worsen.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As we increase sales to large organizations, our sales cycles have and could continue to lengthen, and we could experience greater deployment challenges.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invest significant resources into sales to large organizations. Large organizations typically undertake a significant evaluation and negotiation process due to their leverage, size, organizational structure, and approval requirements, all of which have and may continue to lengthen our sales cycle. We have also faced and may in the future face unexpected deployment challenges with large organizations or more complicated deployment of some or all aspects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7205"/>
                <wp:effectExtent l="0" t="0" r="0" b="0"/>
                <wp:wrapNone/>
                <wp:docPr id="37" name="Frame3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generate revenue from sales of subscriptions to our platform, and any decline in demand for our platform or for communications and collaboration technologies in general would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awareness of the communications and collaboration technologies category;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availability of products and services that compete with ours;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new modes of communications and collaboration that may be developed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reduction in customer information technology spending budgets, or a consolidation of spending budgets on our competitors' platforms, especially during periods of inflation or recessionary or uncertain economic environments;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ease of adoption and use;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features and platform experience;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reliability of our platform, including frequency of outages;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performance;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brand;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user support;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pricing.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incurred net losses in the past and there are no assurances we will be able to maintain or increase profitability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in the past and could incur net losses in the future. We intend to continue to expend significant funds on our sales and marketing efforts to attract new customers, expand the number of licenses and services used by our customers and develop and enhance our products. We also intend to continue investing in general corporate purposes, including operations, hiring additional personnel, including through acquisitions of other businesses, upgrading our infrastructure, addressing security and privacy issues, and expanding into new geographies and markets. To the extent we are successful in increasing our customer base, we may also incur increased losses because, other than sales commissions, the costs associated with acquiring customers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users have upgraded to a paid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customer adoption and renewal of our platform, the entry of competitive products and services, or the success of existing competitive products and services. As a result, we may not be able to increase or maintain profitability in future periods. If we fail to grow our revenue sufficiently to keep pace with our investments and other expenses,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7205"/>
                <wp:effectExtent l="0" t="0" r="0" b="0"/>
                <wp:wrapNone/>
                <wp:docPr id="38" name="Frame3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and some of these third parties can make it more difficult for our platform to interoperate with their systems in favor of competitive platforms.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provide, develop, and create applications for our platform partners that integrate our platform with our partners’ various offerings. For example, our Zoom Workplace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not be able to respond to rapid technological changes, extend our platform, or develop new features.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communications and collaboration technologies market is characterized by rapid technological change and frequent new product and service introductions. Our ability to grow our customer base and increase our revenue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AI and machine learning are changing the way people work,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demand for our platform. There is no assurance that new additions or other future enhancements to our platform or new product experiences, features, or capabilities will be compelling to our customers or gain market acceptance, or that they will perform as expected. If our research and development investments do not accurately anticipate demand or if we fail to develop our platform in a manner that satisfies customer preferences and requirements in a timely and cost-effective manner, we may fail to retain our existing customers or increase demand for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users do not widely adopt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7205"/>
                <wp:effectExtent l="0" t="0" r="0" b="0"/>
                <wp:wrapNone/>
                <wp:docPr id="39" name="Frame3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use generative AI including in our products and services, which may result in operational challenges, legal liability, reputational concerns, competitive risks and regulatory concerns that could adversely affect our business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generative AI processes and algorithms, including by deploying generative AI features in our products and services, which may result in adverse effects to our operations, legal liability, reputation and competitive risks. The use of generative and agentic AI at scale is relatively new, and may lead to challenges, concerns and risks that are significant or that we may not be able to predict. For example, AI algorithms use machine learning (“ML”) and predictive analytics which may be insufficient, biased, inaccurate or of poor quality, which could result in customer rejection or skepticism of our products, adversely impact the rights of individuals, affect our reputation or brand, and negatively affect our financial results. Additionally, we rely on third parties for certain AI features of our products and if such third parties do not provide us those features (or do not do so on acceptable terms), experience interruptions, or cease operating, we may need to work with another provider, which may take time or may not be possible, and could result in the disruption of certain of our products or services, affect our reputation or brand, and negatively affect our financial results. We could also face claims from third parties claiming infringement of their intellectual property or other proprietary rights with respect to materials used or created by generative or agentic AI tools or features that we believed to be available for use and not subject to such rights. The investment required to bring AI features to market and the costs associated with providing these features to our customers may be significant, and we may be unable to recover these costs if customers and users do not widely adopt these features. We currently offer our AI features at no additional cost, as we believe they will ultimately enhance user satisfaction, improve customer retention, and drive revenue. If such benefits are not realized, the associated investment costs could further negatively impact our margins. Further, use of generative AI tools by our employees or others could result in disclosure of confidential or sensitive company and customer data, reputational harm, and legal liability.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failure to effectively develop and expand our marketing and sales capabilities could harm our ability to increase our customer base and achieve broader market acceptance of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customer base and achieve broader market acceptance of our products and services will depend to a significant extent on our ability to expand our marketing and sales operations. We plan to continue expanding our sales and marketing capabilities, including through strategic partners, both domestically and internationally. If we are unable to expand our sales and marketing operations, our future revenue growth and business could be adversely impacted.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as the cost to acquire customers through these efforts is high. Our business will be harmed if our efforts do not generate a correspondingly significant increase in revenue.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Failures in internet infrastructure or interference with broadband access could cause current or potential users to believe that our systems are unreliable, possibly leading our customers to switch to our competitors, or to cancel their subscriptions to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Unlike traditional communications and collaboration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to support our user base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7205"/>
                <wp:effectExtent l="0" t="0" r="0" b="0"/>
                <wp:wrapNone/>
                <wp:docPr id="40" name="Frame4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4, 2018, the Federal Communications Commission (“FCC”) released an order reclassifying broadband internet access as an information service, a regulatory regime generally referred to as network neutrality,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On October 19, 2023, the FCC adopted a notice of proposed rulemaking proposing to reinstate the 2015 rules, and on April 24, 2024, adopted an order that substantially reinstated those rules. On January 2, 2025, the U.S. Court of Appeals for the Sixth Circuit issued a decision overturning the FCC order. That decision remains subject to potential further appeals. We cannot predict the impact of the new rules on our operations or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number of states have adopted or are adopting or considering legislation or executive actions that would regulate the conduct of broadband providers, including legislation to impose state-level network requirements in New York. After a federal court judge denied a request for a preliminary injunction against California’s state-specific network neutrality law, California began enforcing that law on March 25, 2021. A number of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The FCC’s April 24 order, which, as described above, was overturned by the Sixth Circuit Court of Appeals, permits it to preempt any state-level network neutrality requirements that go beyond the requirements adopted in that order, but specifically held that the California law would not be preempted. We cannot predict whether the FCC order or other state initiatives will be enforced, modified, overturned, or vacated by legal action of the court, federal legislation, or the FCC. Under the FCC’s 2018 rules, which currently remain in effect, broadband internet access providers may be able to charge web-based services such as ours for priority access or favor services offered by our competitors or by the internet access providers themselves, which could result in increased costs and a loss of existing customers, impair our ability to attract new customers, and harm our business but the 2024 rules, if they go into effect, are intended to limit the ability of broadband internet access providers to engage in such behavior.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there are changes to the regulatory structures in the United States or elsewhere that reduce investment in infrastructure by internet service providers, including a return of the network neutrality regulations that were overturned, any impacts of reduced investment that reduce network capacity or speed could have a negative effect on our business, operating results, and financial condition.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security measures, and those of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if our products and services are perceived as not being secure, this could result in customers and users curtailing or ceasing their use of our products, our incurring significant liabilities, and our business being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and the third parties with whom we work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We routinely investigate security incidents, which have occurred in the past and may occur in the future, that result in unauthorized access to, loss or unauthorized disclosure of, or inadvertent disclosure of confidential, proprietary, and sensitive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7205"/>
                <wp:effectExtent l="0" t="0" r="0" b="0"/>
                <wp:wrapNone/>
                <wp:docPr id="41" name="Frame4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Cyberattacks, other malicious internet-based activity, online and offline fraud, and other similar activities threaten the confidentiality, integrity, and availability of our proprietary, confidential, and sensitive data and information technology systems, and those of the third parties with whom we work.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which could materially disrupt our systems and operations, supply chain, and ability to provide our services. We and the third parties with whom we work are subject to a variety of evolving threats, including but not limited to social-engineering attacks (including through deep fakes, which may be increasingly difficult to identify as fake, and phishing attacks), malicious code (such as viruses and worms), malware (including as a result of advanced persistent threat intrusions), denial-of-service attacks, credential stuffing, personnel misconduct or error, supply-chain attacks, software bugs, server malfunctions, software or hardware failures, loss of data or other information technology assets, adware, telecommunications failures, attacks enhanced or facilitated by AI,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or our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have discovered, and may in the future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may place certain security obligations on us. For example, some of our customers may be subject to the EU’s Digital Operational Resilience Act (DORA) and similar UK regulatory requirements on operational resilience. These laws may obligate our customers to impose contractual provisions on us, including certain mandatory third-party risk management provisions. If we fail to materially comply with these contractual requirements, we may be subject to investigations, audits or other adverse consequences.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reliance on third parties has in the past and could continue to introduce new cybersecurity risks and vulnerabilities, including supply-chain attacks, and other threats to our business operations. We rely on third parties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 parties to provide other products, services and parts, or otherwise to operate our business.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supply chains have not been compromised.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security measures are compromised, as has occurred in the past, our reputation could be damaged; our data, information or intellectual property, or that of our customers, may be destroyed, stolen, or otherwise compromised; our business may be harmed; and we could incur significant liability. We take steps designed to detect and remediate vulnerabilities in our information systems and those of third parties with whom we work, but we may not detect or remediate all such vulnerabilities or do so in a timely manner. The threats and techniques used to exploit vulnerabilities change frequently and are often sophisticated in nature, and may be difficult to detect by security tools. Vulnerabilities could be exploited and result in a security incident. We have limited budgetary and human resources for detecting and remediating vulnerabilities and have experienced difficulties in hiring and retaining qualified security personnel, especially after our recent restructuring actions. We may experience delays in developing and deploying remedial measures, including patches, designed to address identified vulnerabilities, and our remedial measures may require action by our customers such as installing patches or updates, which may increase the amount of time a vulnerability remains unremediated. We have not always been able in the past and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7205"/>
                <wp:effectExtent l="0" t="0" r="0" b="0"/>
                <wp:wrapNone/>
                <wp:docPr id="42" name="Frame4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unable in the future to anticipate or prevent threats or techniques used to detect or exploit vulnerabilities in our information systems or third-party software, or obtain unauthorized access to or compromise our systems.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high or critical vulnerabilities in our products, services and information systems in the past, and we expect that we will continue to identify such vulnerabilities in the future. We cannot be certain that we will be able to address any vulnerabilities in our products, services and information systems that we may become aware of in the future, or there may be delays in developing patches that can be effectively deployed to address vulnerabilities.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continue to make prioritization decisions based on, among other things, our available resources, the efficacy of our security tools, and the increasing workload to meet certain security obligations, to determine which vulnerabilities or security defects to fix and the timing of these fixes, which could result in an exploit that compromises security. In some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Security incidents and vulnerabilities, and concerns regarding privacy, data protection, and information security may also prevent some of our customers and users from using or cause some of our customers and users to stop using our solutions and fail to upgrade or renew their subscriptions. Failures to meet customers’ and users’ expectations with respect to security and confidentiality of their data and information could damage our reputation and affect our ability to retain customers and users, attract new customers and users, and grow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with whom we work A security incident or other interruption could disrupt our ability (and that of third parties with whom we work) to provide our services. We expend significant resources or modify our business activities to try to protect against security incidents. Additionally, certain privacy, data protection, and information security obligations require us to implement and maintain certain security measures or industry-standard or reasonable security measures to protect our information technology systems and sensitive data.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governments have enacted laws requiring companies to provide notice of data security incidents, including those recently promulgated by the SEC. These laws may also require us to take certain measures, such as providing credit monitoring to individuals. Such laws are inconsistent, and compliance in the event of a widespread data breach is costly, and the disclosure or the failure to comply with such requirements could lead to adverse consequences. In addition, some of our customers require us to notify them of data security breaches.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or perceived security gaps or security compromises experienced in our industry or by our competitors, our customers, a third party with whom we work, or us could cause us to experience adverse consequences, such as government enforcement actions (for example, investigations, fines, penalties, audits, and inspections); additional reporting requirements and/or oversight; restrictions on processing sensitive data (including personal information); litigation (including class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97205"/>
                <wp:effectExtent l="0" t="0" r="0" b="0"/>
                <wp:wrapNone/>
                <wp:docPr id="43" name="Frame4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while more than half of our employees are based in the United States, like many similarly situated technology companies, we have a sizable number of research and development personnel outside of the United States, including in China, which has exposed and could continue to expose us to governmental and regulatory as well as market and media scrutiny regarding the actual or perceived integrity of our platform or data security and privacy features.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Increased usage of our services, novel uses of our services, and additional awareness of Zoom and our brand has led and could in the future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depends on a strong brand, and if we are not able to maintain and enhance our brand, our ability to expand our base of users will be impaired and our business will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the Zoom brand is critical to expanding our base of customers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customers.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fail to manage our growth effectively, our business, financial condition and results of operations may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employee headcount both in the United States and internationally has generally increased over time, we have undertaken, and may undertake from time to time in the future, restructuring actions to better align our financial model. For example, in February 2023, we commenced certain restructuring actions, designed to reduce operating costs and continue advancing our ongoing commitment to profitable growth.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organizational changes may not achieve or sustain the targeted benefits, or the benefits, even if achieved, may not be adequate to meet our long-term profitability and operational expectations. Steps we take to manage our business operations, including workplace policies for employees, and to align our operations with our strategies for future growth, may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97205"/>
                <wp:effectExtent l="0" t="0" r="0" b="0"/>
                <wp:wrapNone/>
                <wp:docPr id="44" name="Frame4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affect our reputation and brand, our ability to recruit, retain and motivate highly skilled personnel. Additionally, while we expect to continue to grow our business and operations over time, we have encountered in the past, and may encounter in the future, risks and uncertainties frequently experienced by growing companies in rapidly changing industries. Our ability to manage our growth and business operations effectively and to integrate new employees, technologies and acquisitions into our existing business will require us to continue to expend resources to support our global user-base and to retain, attract, train, motivate and manage employees. This places a continuous, significant strain on our management, operational, and financial resources. If we fail to achieve the necessary level of efficiency in our organization as it grows, or if we are not able to accurately forecast future growth,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ability to sell subscriptions to our platform could be harmed by real or perceived material defects or errors in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cause a reduction in revenue or delay in market acceptance of our platform;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require us to issue refunds to our customers or expose us to claims for damages;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cause us to lose existing customers and make it more difficult to attract new customers;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divert our development resources or require us to make extensive changes to our platform, which would increase our expenses;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 our technical support costs;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harm our reputation and brand.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were to lose the services of our Chief Executive Officer or other members of our senior management team, we may not be able to execute our business strategy.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including the transition of our Chief Financial Officer in 2024,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failure to attract and retain additional qualified personnel or to maintain our happiness-centric company culture could harm our business and culture and prevent us from executing our business strategy.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execute our business strategy, we must attract and retain highly-qualified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our recent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97205"/>
                <wp:effectExtent l="0" t="0" r="0" b="0"/>
                <wp:wrapNone/>
                <wp:docPr id="45" name="Frame4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significant and expanding operations outside the United States, which may subject us to increased business, regulatory and economic risks that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addresses the communications and collaboration needs of users worldwide, and we see international expansion as a major opportunity. Our revenue from APAC and EMEA collectively represented 27.8% and 28.3% of our revenue for the three months ended April 30, 2025 and 2024, respectively.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including interference with our local operations or restrictions on our ability to continue our operations in certain jurisdictions, that would impair our ability to operate or expand further into certain markets.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services, would be adversely impacted as a significant portion of our research and development organization resides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internationally subjects us to new risks and increases risks that we currently face, including risks associated with:</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97205"/>
                <wp:effectExtent l="0" t="0" r="0" b="0"/>
                <wp:wrapNone/>
                <wp:docPr id="46" name="Frame4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applicable international laws and regulations, including laws and regulations with respect to privacy, information security, telecommunications requirements, data protection, consumer protection, automatic renewals, and unsolicited email, and the risk of penalties to us and individual members of management or employees if our practices are deemed to be out of compliance;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operating in foreign jurisdictions where the government may impede or interrupt our ability to provide our services or develop new products, features, and functionality;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management of an employee base in jurisdictions that may not give us the same employment and retention flexibility as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operating in jurisdictions that do not protect intellectual property rights to the same extent as the United States and the practical enforcement of such intellectual property rights outside of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government interference with our intellectual property that resides outside of the United States, such as the risk of changes in foreign laws that could restrict our ability to use our intellectual property outside of the foreign jurisdiction in which we developed it;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integration with partners outside of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political and economic instability and other political tensions between countries in which we do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diplomatic and trade relationships, including the continuing deterioration in diplomatic relations between the United States and China, or deterioration in diplomatic relations between the United States and countries with which the United States has traditionally enjoyed close ties and alliances, and the ongoing conflicts between Russia and Ukraine and in the Middle East;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costs of doing business internationally, including increased accounting, travel, infrastructure, and legal compliance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97205"/>
                <wp:effectExtent l="0" t="0" r="0" b="0"/>
                <wp:wrapNone/>
                <wp:docPr id="47" name="Frame4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various U.S. and international anti-corruption laws, and any failure to comply with such laws could harm our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Geopolitical tension between the United States and China, or between other economies, such as Taiwan, and China, may intensify and lead to increased scrutiny of our business operations in China.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do and could in the future lead to increased scrutiny of our business operations in China and a negative perception among current and potential customers regarding our collection, use, storage, disclosure, and processing of personal information, and our privacy policies, any of which may harm our reputation and business. Additionally, we may face certain adverse consequences, as a result of geopolitical and national security tensions between the United States and China, including interference with, or restrictions on, our local operations that would impair our ability to operate in China.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 would be adversely impacted as a significant portion of our research and development organization resides in China.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responding to law enforcement requests from the Chinese government.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conducted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pStyle w:val="TextBody"/>
        <w:bidi w:val="0"/>
        <w:spacing w:lineRule="auto" w:line="252"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recognize revenue from subscriptions to our platform over the terms of these subscriptions. Consequently, increases or decreases in new sales may not be immediately reflected in our results of operations and may be difficult to discern.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users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who increase their use of our platform or upgrade to a higher-priced plan must be recognized over the applicable subscription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97205"/>
                <wp:effectExtent l="0" t="0" r="0" b="0"/>
                <wp:wrapNone/>
                <wp:docPr id="48" name="Frame4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Any failure to offer high-quality support for our customers and users may harm our relationships with our customers and users and, consequently,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Increased user demand for support may result in increased costs that may harm our results of operations. For example, during the COVID-19 pandemic we saw surging demand requiring us to allocate additional resources to support our expanded customer and user base, including many who were using our platform for the first time, placing additional pressure on our support organization. In addition, as we continue to support our global user base, we need to be able to continue to provide efficient support that meets our customers and users’ needs globally at scale. If we are unable to provide efficient user support globally at scale or if we need to hire additional support personnel, our business may be harmed. Our new customer sign-ups are highly dependent on our business reputation and on recommendations from our existing customers and users. Any failure to maintain high-quality support, or a market perception that we do not maintain high-quality support for our customers and users,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utilize our network of resellers to sell our products and services, and our failure to effectively develop, manage, and maintain our indirect sales channels would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resellers or potential resellers to favor their products and services or prevent or reduce sales of our products and services. Recruiting and retaining qualified resellers in our network and training them in our technology, product offerings and processes requires significant time and resources. For resellers in certain emerging markets, we may be unable to effectively oversee and quality-check certain processes, such as customer due diligence, which has and may continue to impact such resellers’ ability to implement robust customer verification protocols and mitigate fraud risk.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develop relationships with new resellers in new markets, expand the number of resellers in existing markets, or manage, train, or provide appropriate incentives to our existing resellers, our ability to increase the number of new customers and increase sales to existing customers could be adversely impacted, which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which are reported in U.S. dollars, could be adversely affected if currency exchange rates fluctuate substantially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three months ended April 30, 2025 and 2024, 19.3% and 19.4% of our revenue, respectively, and 16.5% and 15.6%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fiscal year ended April 30, 2025, our total revenue was lower than anticipated in part due to the strengthening of the U.S. dollar. We do not currently maintain a program to hedge exposures to non-U.S. dollar currencies.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sales to government entities and other government contractors are subject to a number of additional challenges and risks.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contracts with governmental entities are subject to termination for the convenience of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97205"/>
                <wp:effectExtent l="0" t="0" r="0" b="0"/>
                <wp:wrapNone/>
                <wp:docPr id="49" name="Frame4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government certification requirements may change, or we may be unable to achieve or sustain one or more government certifications, including FedRAMP, which may restrict our ability to sell into the government sector until we have attained such certificates;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contracts with governmental entities and other government contractors, including resellers in the government market, contain terms that are less favorable than what we generally agree to in our standard agreements, including, terms and conditions required by regulation that are not negotiable with the customer;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as a U.S. government contractor, we may be subject to executive orders and regulatory changes affecting various aspects of our operations, including compliance with nondiscrimination plans, and any required elimination or modification of such plans in response to new executive orders could pose challenges in hiring or retaining employees and may lead to other adverse operational impacts, while failure to comply with these requirements could expose us to administrative, civil, or criminal liabilities, including fines, penalties, repayments or suspension or debarment from eligibility for future U.S. government contracts;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government demand and payment for our products may be influenced, among other things, by public sector budgetary cycles and funding authorizations, with funding reductions or delays having an adverse impact on public sector demand for our products.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we become more reliant on contracts with government entities and/or other government contractors in the future, our exposure to such risks and challenges could increase, which in turn could adversely impact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2025, the current administration began issuing Executive Orders identifying new government policy and directing U.S. federal agencies to evaluate their current actions, including certain spending, to ensure that such actions are consistent with new Administration priorities. Some of those Executive Orders are the subjects of pending litigation, and there remains significant uncertainty about the ways in which agencies will implement the new Executive Orders. Such implementation could negatively affect our current and future business with U.S. government agencies.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current platform, as well as products, features, and functionality that we may introduce in the future, may not be widely accepted by our customers and users or may receive negative attention or may require us to compensate or reimburse third parties, any of which may lower our margins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engage, retain, and increase our base of customers and users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users or may create lag in adoption of such new products. New products may initially suffer from performance and quality issues that may negatively impact our ability to market and sell such products to new and existing customers. The short- and long-term impact of any major change to our products, or the introduction of new products, is particularly difficult to predict. If new or enhanced products, including those incorporating AI features, fail to engage, retain, and increase our base of customers,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who will use our Zoom Phone product will be allocated towards compensating these telephone carriers, which lowers our margins for Zoom Phone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97205"/>
                <wp:effectExtent l="0" t="0" r="0" b="0"/>
                <wp:wrapNone/>
                <wp:docPr id="50" name="Frame5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experience excessive fraudulent activity or cannot meet evolving credit card association merchant standards, we could incur substantial costs and lose the right to accept credit cards for payment, which could cause our customer and paid user base to decline significantly.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have exposure to greater than anticipated tax liabilities, which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tax benefits of stock-based compensation expense; changes in the valuation of, or our ability to use, deferred tax assets; the applicability of withholding taxes; and effects from acquisitions.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taxes on our condensed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Tax Cuts and Jobs Act of 2017 requires the capitalization and amortization of research and development expenses effective for years beginning after December 31, 2021. The mandatory capitalization requirement increased our cash tax liabilities but also decreased our effective tax rate due to increasing the foreign-derived intangible income deduction. Although Congress has been considering legislation that would defer the amortization requirement to later years, we have no assurance that the provision will be repealed or otherwise modified. Absent a change in legislation, we expect the mandatory capitalization requirement will continue to have a material impact on our cash flows.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certain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OECD has also been working on a Base Erosion and Profits Shifting project that, upon implementation, would change various aspects of the existing framework under which our tax obligations are determined in many of the countries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97205"/>
                <wp:effectExtent l="0" t="0" r="0" b="0"/>
                <wp:wrapNone/>
                <wp:docPr id="51" name="Frame5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which we operate. In this regard, the OECD has proposed policies aiming to modernize global tax systems, including a country-by-country 15% minimum effective tax rate (“Pillar Two”) for multinational companies. Numerous countries have enacted, or are in the process of enacting, legislation to implement the Pillar Two model rules with a subset of the rules becoming effective during our fiscal year ended January 31, 2025, and the remaining rules becoming effective for our fiscal year ending January 31, 2026, or in later periods. As these rules continue to evolve with new legislation and guidance, we will continue to monitor and account for the enactment of Pillar Two rules in the countries where we operate, and the potential impacts such rules may have on our effective tax rate and cash flows in future years.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acquired and may continue to acquire other businesses or receive offers to be acquired, which could require significant management attention, disrupt our business, or dilute stockholder value.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due to, among other things, possible delays and challenges in obtaining regulatory approvals.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The process of acquiring a business, including any integration efforts, requires significant time and resources, requires significant attention from management, and can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a limited operating history at the current scale of our business, which makes it difficult to evaluate our prospects and future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 2021, we experienced rapid growth in usage of our unified communications and collaboration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The changes the COVID-19 pandemic fostered on the way companies operate, including the shifts to remote and hybrid work, have limited our ability to forecast revenue, costs, and 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rely on data from tools to calculate certain of our key business metrics. Real or perceived inaccuracies in such metrics may harm our reputation and negatively affect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continually seeking to improve our ability to measure our key business metrics, and regularly review our processes to assess potential improvements.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7205"/>
                <wp:effectExtent l="0" t="0" r="0" b="0"/>
                <wp:wrapNone/>
                <wp:docPr id="52" name="Frame5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Risks Related to Laws and Regulations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actual or perceived failure by us, our customers, partners or vendors to comply with stringent and evolving laws and regulations, industry standards, policies, and contractual obligations relating to privacy, data protection, information security, and other matters could harm, and has in the past harmed, our reputation and business and subject us to significant fines and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and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Laws in the United States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federal, state, and local governments have enacted numerous privacy, data protection, and information security laws, including data breach notification laws, personal information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fines and allows private litigants affected by certain data breaches to recover significant statutory damages.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Under various laws and other obligations related to privacy, data protection, and information security, we are required to obtain certain consents to process personal information. For example, some of our data processing practices may be challenged under wiretapping laws when we obtain consumer information from third parties through various methods, including chatbot and session replay providers, or via third-party marketing pixels. These practices are subject to increased challenges by class action plaintiffs. Several states and foreign jurisdictions have enacted statutes imposing obligations on businesses collecting or processing biometric information. For example, Illinois’ Biometric Information Privacy Act (“BIPA”) regulates the collection, use, safeguarding, and storage of biometric information and provides for substantial penalties and statutory damages. The Federal Trade Commission (“FTC”), has indicated that use of biometric technologies (including facial recognition technologies) may be subject to additional scrutiny. Our inability or failure to obtain consent for these practices could result in adverse consequences, including class action litigation, mass arbitration demands, and regulatory attention.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Laws Outside of the United States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an increasing number of laws, regulations, and industry standards related to privacy, data protection, and information security may govern.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 authorized at law to represent their interests. China’s PIPL imposes a set of specific obligations on covered businesses in connection with their processing and transfer of personal information and imposes fines of up to RMB 50 million or 5% of the prior year’s total annual revenue of the violator. The Swiss Federal Act on Data Protection (“FADP”), also applies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97205"/>
                <wp:effectExtent l="0" t="0" r="0" b="0"/>
                <wp:wrapNone/>
                <wp:docPr id="53" name="Frame5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collection and processing of personal information, including health-related information, by companies located in Switzerland, or in certain circumstances, by companies located outside of Switzerland.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market to customers in Asia and have operations in Japan, Singapore and India, and may be subject to new and emerging privacy, data protection, and information security regimes in the region, including Japan’s Act on the Protection of Personal Information, Singapore’s Personal Data Protection Act, and India's new privacy legislation, the Digital Personal Data Protection 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and UK to the United States in compliance with law, such as the EEA’s standard contractual clause, and the EU-U.S. Data Privacy Framework and the UK extension thereto (which allow for transfers to relevant U.S.-based organizations who self-certify compliance and participate in the Framework), these mechanisms can be subject to legal challenges, and there is no assurance that we can satisfy or rely on these measures to lawfully transfer personal information to the United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information out of Europe for allegedly violating the EU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 The United States is also increasingly scrutinizing certain data transfers and may also impose certain data localization requirements.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become subject to new laws that regulate non-personal information.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information outside the EEA. Depending on how this Act and any similar laws are implemented and interpreted, we may have to adapt our business practices, contractual arrangements, and products and services to comply with such obligations.</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Artificial Intelligence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development and use of AI technologies is subject to privacy, data protection, IP, and information security laws, industry standards, external and internal privacy and security policies, and contractual requirements, as well as increasing regulation and scrutiny. Several jurisdictions around the globe, including the EU, the UK and certain U.S. states, have proposed, enacted, or are considering laws governing the development and use of technology featuring AI. For example, the EU's AI Act enters in phases this year and will have a direct effect across all EU jurisdictions.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Obligations on AI may make it harder for us to conduct our business using, or build products incorporating, AI, require us to change our business practices, require us to retrain our algorithms, require us to disclose or provide greater transparency regarding the nature of our AI tools and the data we have employed to train them, or prevent or limit our use of AI. For example, the FTC has required other companies to turn over (or disgorge) valuable insights or trainings generated through the use of AI where they allege the company has violated privacy and consumer protection laws. Additionally, certain privacy laws extend rights to consumers (such as the right to delete certain personal information) and regulate automated decision making, which may be incompatible with our use of AI. If we do not develop or incorporate AI in a manner consistent with these factors, and consistent with customer expectations, it has in the past and may in the future result in an adverse impact to our reputation, our business may be less efficient, or we may be at a competitive disadvantage. Similarly,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97205"/>
                <wp:effectExtent l="0" t="0" r="0" b="0"/>
                <wp:wrapNone/>
                <wp:docPr id="54" name="Frame5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customers and users do not widely adopt our new product AI experiences, features, and capabilities, or they do not perform as expected, we may not be able to realize a return on our investment.</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Laws Relating to Minors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regulators are increasingly scrutinizing companies that process minors' data and/or provide online services or other interactive platforms used by minors. Numerous laws, regulations, and legally-binding codes, such as the Children’s Online Privacy Protection Act (“COPPA”), California’s Age Appropriate Design Code, the CCPA, other U.S. state comprehensive privacy laws, the EU and UK GDPR, the EU's Digital Services Act ("DSA"), the UK's Online Safety Act ("OSA") and the UK Age Appropriate Design Code, impose various obligations on companies that process minors' data and/or provide online services, or other interactive platforms used by children, including prohibiting showing minors advertising, requiring age verification, limiting the use of minors’ personal information, requiring certain consents to process such data and extending certain rights to children and their parents with respect to that data. These laws may, and in some cases already have been subject to legal challenges and changing interpretations which may further complicate our efforts to comply with laws applicable to us.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these laws, regulations, and legally-binding codes,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Consumer Preferences and Protection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information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EU,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information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For example, in September 2024, the FCC adopted new rules scheduled to take effect in 2027 that require video conferencing services to include features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97205"/>
                <wp:effectExtent l="0" t="0" r="0" b="0"/>
                <wp:wrapNone/>
                <wp:docPr id="55" name="Frame5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that expand accessibility requirements for consumers of our products and services.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Standards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privacy, data protection and information security laws, we are contractually subject to certain industry standards adopted by industry groups and may become subject to additional such obligations in the future. We also have certain privacy, data protection, information security obligations arising from the practices in our industry or of companies similar to us. We are also bound by other contractual obligations related to privacy, data protection, and information security, and our efforts to comply with such obligations may not be successful. If we fall below such industry standard or cannot comply with such contractual obligations, our reputation and business may be harmed. We also publish privacy policies, marketing materials, whitepapers and other statements, such as compliance with certain certifications or self-regulatory principles, regarding privacy, data protection, artificial intelligence and information security. Regulators in the United States have scrutinized and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Government Inquiries and Investigations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These investigations are ongoing, and a negative outcome in any or all of these matters could cause us to incur substantial fines, penalties, or other financial exposure, as well as material reputational harm, a loss of customer and user confidence and business, additional expenses, and other harm to our business. As of the date hereof, in regard to the SEC matter, a tentative settlement of $18.0 million is now outstanding and remains subject to SEC approval. We do not know when these matters will be completed, including the SEC matter, which facts we will ultimately discover as a result of the investigations, or what actions the government may or may not take.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Consents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rely on the administrators of our customers in the healthcare and education industries to obtain the necessary consents from users of our products and services and to ensure their account settings are configured correctly for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97205"/>
                <wp:effectExtent l="0" t="0" r="0" b="0"/>
                <wp:wrapNone/>
                <wp:docPr id="56" name="Frame5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Perception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Increased usage of our services and additional awareness of Zoom and our brand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Failure to Comply with our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related to privacy, data protection, information security, the use of AI, the provision of online services and other interactive platforms (and consumers' expectations regarding them)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has and may continue to necessitate changes to our services, information technologies, systems, and practices and to those of any third parties that process personal information on our behalf.</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at times fail (or be perceived to have failed) in our efforts to comply with our obligations relating to privacy, data protection, information security, the use of AI and the provision of online services and other interactive platforms.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Changes in government trade policies, including the imposition of tariffs and export restrictions, could limit our ability to sell our products to certain customers, which may have a material adverse effect on our sales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or foreign governments have taken and may in the future take administrative, legislative, or regulatory action, including imposing tariffs, that could materially interfere with our ability to sell products in certain countries and the recent announcements of substantial new tariffs and other restrictive trade policies have created a dynamic and unpredictable trade landscape, which may adversely impact our business.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current administration or future administrations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97205"/>
                <wp:effectExtent l="0" t="0" r="0" b="0"/>
                <wp:wrapNone/>
                <wp:docPr id="57" name="Frame5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U.S. Government has expressed concerns with the security of information and communications technology and services (“ICTS”) sourced from providers in China, Russia, and other jurisdictions. In May 2019, an executive order was issued invoking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be subject to additional liabilities on past sales for taxes, surcharges, and fees.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that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that could impair our ability to compete in international markets due to licensing requirements and subject us to liability if we are not in compliance with applicable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customers’ ability to implement our platform in those countries.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 the past inadvertently made and may inadvertently make our software products available to some customers in potential violation of the EAR. Therefore, as 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97205"/>
                <wp:effectExtent l="0" t="0" r="0" b="0"/>
                <wp:wrapNone/>
                <wp:docPr id="58" name="Frame5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be subject to, or respond to requests from law enforcement that are legally valid, appropriately scoped, and sufficiently detailed in connection with enforcement of, various civil and criminal laws, including those covering copyright, indecent content, child protection, consumer protection, telecommunications services, taxation, and similar matters. It may be difficult, expensive, and disruptive for us to address law enforcement requests, subpoenas and other legal processes,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protect user safety and prevent conduct that is illegal, violent, or harmful to others, we enforce our terms of service through use of a mix of tools that suggest when such activity may be occurring on our platform. Our trust and safety team may take further action as appropriate, including suspension or termination of the participant's account or referral to law enforcement.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Changes in law or policy could compel us or limit our ability to engage in content moderation, or otherwise limit the ability of users to engage in inappropriate or harmful behavior, and could expose us to liability.</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There have been various Congressional and executive efforts to eliminate or modify Section 230 of the Communications Act of 1934, enacted as part of the Communications Decency Act of 1996. Section 230 provides protection for providers of online service from liability for content produced by third parties and protects the right to engage in moderation of user content. The current administration and many members of Congress from both parties support the reform or repeal of Section 230, so the possibility of Congressional action remains. In addition, the FCC is considering a petition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that, if successful, would greatly limit the scope of Section 230. The U.S. Supreme Court recently declined to limit the applicability of Section 230 in certain circumstances, but future cases may not yield the same results and</w:t>
      </w:r>
      <w:r>
        <w:rPr>
          <w:color w:val="000000"/>
        </w:rPr>
        <w:t xml:space="preserve"> </w:t>
      </w:r>
      <w:r>
        <w:rPr>
          <w:rFonts w:ascii="Times New Roman;sans-serif" w:hAnsi="Times New Roman;sans-serif"/>
          <w:b w:val="false"/>
          <w:color w:val="000000"/>
          <w:sz w:val="20"/>
        </w:rPr>
        <w:t>a recent decision by the U.S. Court of Appeals for the Third Circuit would limit the applicability of Section 230 to curated content.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Implementation of the Florida and Texas statutes has been stayed by various federal courts, including the U.S. Supreme Court. On August 18, 2022, the parties in the Florida case requested, and were granted, a stay of the appeals court mandate pending Supreme Court review. On September 16, 2022,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On September 29, 2023, the Supreme Court announced that it would review both the Florida and Texas decisions, and on July 1, 2024, the Court issued a decision returning both cases to the trial courts for additional analysis.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97205"/>
                <wp:effectExtent l="0" t="0" r="0" b="0"/>
                <wp:wrapNone/>
                <wp:docPr id="59" name="Frame5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district court in Texas, on August 29, 2024, issued a decision staying some portions of the Texas law and allowing others to go into effect, relying on analysis under both Section 230 and the First Amendment, on November 18, 2024, the Fifth Circuit issued an order setting parameters for the district court's consideration of the issues raised by the Supreme Court and on January 31, 2025, the plaintiffs refiled their complaint with revisions to reflect the Supreme Court decision. The district court in Florida set a trial date in its case for June 2025. Florida amended its statute in an effort to address issues that led the court to issue the stay. It is likely that any other such state legislation also would be challenged under the First Amendment to the U.S. Constitution and on the ground that it is preempted by Section 230. In addition, on August 27, 2024, the U.S. Court of Appeals for the Third Circuit issued a decision limiting the protections afforded by Section 230 in cases where a social media company curates user feeds to the extent that the feed becomes the speech of the company, reversing a trial court decision that immunized the company under Section 230. We cannot predict whether any such state legislation will be adopted, enforced, modified, overturned, or vacated.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new laws and regulations have been enacted or are being considered that impose extensive obligations regarding online safety and the operation of online services or platforms, such as the OSA and DSA, which may increase our compliance costs, require changes to our processes, operations, and business practices. For example, these new laws and regulations may seek to regulate the sharing of user</w:t>
        <w:noBreakHyphen/>
        <w:t>generated content and require us to identify, mitigate, and manage the risks of harm to users from illegal or harmful content. Violating these obligations could carry significant consequences. For example, violating the DSA can result in fines of up to 6% of total annual worldwide revenue and violating the OSA can result in audits, inspections, and fines of up to £18 million or 10% of worldwide revenue, whichever is higher.</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Federal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The Supreme Court currently is considering a challenge to the USF contribution rules that could affect how such contributions are collected from service providers like us.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the FCC has reinstated its prior network neutrality regulations, but the FCC order was reversed by the Sixth Circuit Court of Appeals. See Part 1A. Failures in internet infrastructure or interference with broadband access could cause current or potential users to believe that our systems are unreliable, possibly leading our customers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13, 2023, the FCC adopted revised rules on reporting of breaches of private customer information, known as CPNI. The revised rules could broaden the types of CPNI breaches that must be reported, but also could limit the number of reports that must be filed by adopting a minimum threshold for the number of customers affected and not requiring reporting in certain circumstances when customers are not harmed. The rules also require that breach reports be provided directly to the FCC, which could increase the risk of enforcement action, including fines and behavioral remedies. These rules are not yet in effect and have been challenged in federal court. We cannot predict the impact of the new rules on our operations or business or whether they will be overturned in court.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 equipment or could prohibit the use of their equipment in the U.S. Zoom does not currently have any equipment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97205"/>
                <wp:effectExtent l="0" t="0" r="0" b="0"/>
                <wp:wrapNone/>
                <wp:docPr id="60" name="Frame6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companies subject to the ban in its network, but if other companies are added to the Covered List and the FCC adopts rules that ban sales or use of equipment from such companies, we could be required to find new sources for similar equipment or replace existing equipment entirely.</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On March 12, 2025, the FCC opened a proceeding to begin the process of identifying FCC rules for the purpose of alleviating unnecessary regulatory burdens and eliminating or modifying such rules.</w:t>
      </w:r>
      <w:r>
        <w:rPr>
          <w:color w:val="000000"/>
        </w:rPr>
        <w:t xml:space="preserve"> </w:t>
      </w:r>
      <w:r>
        <w:rPr>
          <w:rFonts w:ascii="Times New Roman;sans-serif" w:hAnsi="Times New Roman;sans-serif"/>
          <w:b w:val="false"/>
          <w:color w:val="000000"/>
          <w:sz w:val="20"/>
        </w:rPr>
        <w:t>This proceeding could result in substantial changes to the FCC’s rules, including both rules that impose burdens on us and rules that benefit us by preventing anticompetitive behavior by competitors.</w:t>
      </w:r>
      <w:r>
        <w:rPr>
          <w:color w:val="000000"/>
        </w:rPr>
        <w:t xml:space="preserve"> </w:t>
      </w:r>
      <w:r>
        <w:rPr>
          <w:rFonts w:ascii="Times New Roman;sans-serif" w:hAnsi="Times New Roman;sans-serif"/>
          <w:b w:val="false"/>
          <w:color w:val="000000"/>
          <w:sz w:val="20"/>
        </w:rPr>
        <w:t>We cannot predict which rules will be affected by this initiative, when the FCC will act or the impact of any elimination or modification of existing FCC rules on our operations or business.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State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The California Public Utilities Commission has adopted an order requiring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and we may have to restructure our product offerings, exit certain markets, or raise the price of our products, any of which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The FCC’s April 25 order permits it to preempt any state-level network neutrality requirements that go beyond the requirements adopted in that order, but specifically held that the California law would not be preempted. The FCC order was overturned by the U.S. Court of Appeals for the Sixth Circuit on January 2, 2025, but the time to seek review of that decision has not expired. For additional information on this order, see the risk factor titled “Failures in internet infrastructure or interference with broadband access could cause current or potential users to believe that our systems are unreliable, possibly leading our customers to switch to our competitors, or to cancel their subscriptions to our platform.” We cannot predict whether other state initiatives will be enforced, modified, overturned, or vacated.</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International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currently, and may be in the future, party to intellectual property rights claims and other litigation matters, which, if resolved adversely,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protect our intellectual property through patents, copyrights, trademarks, domain names, and trade secrets and, from time to time, are subject to litigation based on allegations of infringement, misappropriation, or other violations of intellectual property or other proprietary rights of others. Some companies, including some of our competitors, own large numbers of patents, as well as valuable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use of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97205"/>
                <wp:effectExtent l="0" t="0" r="0" b="0"/>
                <wp:wrapNone/>
                <wp:docPr id="61" name="Frame6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failure to protect our intellectual property rights and proprietary information could diminish our brand and other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rely and expect to continue to rely on a combination of patent, trademark and domain name protection, trade secret and copyright laws, confidentiality and invention assignment agreements with our employees and consultants, as well as licenses with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diminished or impaired, which could harm our brand and our business. Third parties may knowingly or unknowingly infringe our intellectual property or proprietary rights; third parties may challenge our intellectual property or proprietary rights;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develop similar technologies or processes, or independently discover our trade secrets, in which case we would not be able to assert our trade secret rights. Further, the laws of certain foreign countries do not provide the same level of intellectual property protection of corporate proprietary information and assets such as rights to patents, copyrights,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use of third-party open source software could negatively affect our ability to offer and sell subscriptions to our platform and subject us to possible litigation.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incorporated, and may in the future incorporate, third-party open source software (including our open source AI models)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97205"/>
                <wp:effectExtent l="0" t="0" r="0" b="0"/>
                <wp:wrapNone/>
                <wp:docPr id="62" name="Frame6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 Furthermore, with respect to our use of third-party open source AI models, some licenses to third-party open source AI models contain additional use restrictions pertaining to research-only limitations or, in some cases, vague notions of responsible uses for the AI models, which may not in all instances comport with our business practices.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trading price of our Class A common stock may be volatile, and you could lose all or part of your investment.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volatility in the trading prices and trading volumes of technology stocks;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sales of shares of our Class A common stock by us or our stockholders;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announcements by us or our competitors of new products, features, or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significant change in our management;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political, social, economic and market conditions, in both domestic and our foreign markets, including effects of increased interest rates and inflationary pressures.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97205"/>
                <wp:effectExtent l="0" t="0" r="0" b="0"/>
                <wp:wrapNone/>
                <wp:docPr id="63" name="Frame6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10 votes per share and our Class A common stock has one vote per share. As of April 30, 2025, the holders of our outstanding Class B common stock held 61.8% of the voting power of our outstanding capital stock, with our directors, executive officers and 5% stockholders and their respective affiliates holding 56.9% of such voting power in the aggregate. As of April 30, 2025, our founder, President and Chief Executive Officer, Eric S. Yuan, together with his affiliates, held approximately 7.1% of our outstanding capital stock but controlled approximately 31.6%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Future sales and issuances of our capital stock or rights to purchase capital stock could result in additional dilution of the percentage ownership of our stockholders and could cause our stock price to decline.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Substantial future sales of shares of our Class A common stock and Class B common stock could cause the market price of our Class A common stock to decline.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97205"/>
                <wp:effectExtent l="0" t="0" r="0" b="0"/>
                <wp:wrapNone/>
                <wp:docPr id="64" name="Frame6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are provisions in our certificate of incorporation and bylaws that may make it difficult for a third party to acquire, or attempt to acquire, control of Zoom, even if a change in control was considered favorable by our stockholders.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documents also contain other provisions that could have an anti-takeover effect, such as: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establishing a classified board of directors so that not all members of our board of directors are elected at one time;</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permitting the board of directors to establish the number of directors and fill any vacancies and newly created directorships;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providing that directors may only be removed for cause;</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prohibiting cumulative voting for directors;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requiring super-majority voting to amend some provisions in our certificate of incorporation and bylaws;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authorizing the issuance of “blank check” preferred stock that our board of directors could use to implement a stockholder rights plan;</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eliminating the ability of stockholders to call special meetings of stockholders;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prohibiting stockholder action by written consent, which requires all stockholder actions to be taken at a meeting of our stockholders; and</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our dual-class common stock structure as described above.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any interest in any of our securities shall be deemed to have notice of and consented to these provisions. These exclusive-forum provisions may limit a stockholder’s ability to bring a 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97205"/>
                <wp:effectExtent l="0" t="0" r="0" b="0"/>
                <wp:wrapNone/>
                <wp:docPr id="65" name="Frame6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Estimates of our market opportunity and forecasts of market growth may prove to be inaccurate, and even if the market in which we compete achieves the forecasted growth, our business could fail to grow at similar rates, if at all.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user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could be disrupted by catastrophic events.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face risks related to health epidemics.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strategic investments, including partial or complete loss of invested capital. Significant changes in the fair value of our investment portfolio could negatively impact our financial results.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currently depressed, and the likelihood of successful liquidity events for the companies we have invested in could significantly worsen. In addition, valuations of privately held companies are inherently complex due to the lack of readily available market data.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all fair value adjustments of our publicly traded and privately held non-marketable securities through the consolidated statement of operations. As a result, we may experience additional volatility to our statements of operations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97205"/>
                <wp:effectExtent l="0" t="0" r="0" b="0"/>
                <wp:wrapNone/>
                <wp:docPr id="66" name="Frame6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reported results of operations may be adversely affected by changes in accounting principles generally accepted in the United States.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need additional capital, and we cannot be certain that additional financing will be available on favorable terms, or at all.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consolidated financial statements or comply with applicable regulations could be impaired.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 our accounting, legal and IT organizations.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97205"/>
                <wp:effectExtent l="0" t="0" r="0" b="0"/>
                <wp:wrapNone/>
                <wp:docPr id="67" name="Frame6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Recently, the SEC has alleged violations of internal controls at other public companies, even in the absence of an underlying accounting or disclosure violation, which significantly increases the enforcement risk faced by us and other public companies for any weaknesses in disclosure controls and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incur costs and demands upon management as a result of complying with the laws and regulations affecting public companies in the United States, which may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Regulators', investors’ and other stakeholders’ expectations of our performance relating to environmental, social and governance factors may impose additional costs and expose us to new risks.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regulators, investors, customers and other stakeholders concerning environmental, social and governance matters. To the extent we share information about our practices in this area, we could be criticized for the accuracy, adequacy, or completeness of such disclosures. In addition, we may communicate related goals or initiatives from time to time, which can be costly to achieve and difficult to implement. There is no assurance that we will achieve any of these goals, that our initiatives will achieve their intended outcome, and our ability to implement these initiatives or achieve these goals may be dependent on external factors outside our control. Further, we may experience backlash from customers, government entities, advocacy groups, employees, or other stakeholders who disagree with our actual or perceived positions, or with our lack of position on social, environmental, governance, political, public policy, economic, geopolitical, or other sensitive issues. Any perceived lack of transparency about these matters could harm our brand and reputation, our employees’ engagement and retention, and the willingness of our customers and partners to do business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97205"/>
                <wp:effectExtent l="0" t="0" r="0" b="0"/>
                <wp:wrapNone/>
                <wp:docPr id="68" name="Frame6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Climate change may have an impact on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are inherent climate-related risks wherever business is conducted. We have a global workforce, and operate in leased office spaces and data centers, and the short, medium and long term climate impacts to our business are unclear. Changing market dynamics, global policy developments and the increasing frequency and impact of extreme weather events to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with respect to our repurchases of Class A common stock during the three months ended April 30, 2025:</w:t>
      </w:r>
    </w:p>
    <w:p>
      <w:pPr>
        <w:pStyle w:val="TextBody"/>
        <w:bidi w:val="0"/>
        <w:spacing w:before="120" w:after="283"/>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393"/>
        <w:gridCol w:w="345"/>
        <w:gridCol w:w="349"/>
        <w:gridCol w:w="506"/>
        <w:gridCol w:w="506"/>
        <w:gridCol w:w="508"/>
        <w:gridCol w:w="299"/>
        <w:gridCol w:w="848"/>
        <w:gridCol w:w="166"/>
        <w:gridCol w:w="843"/>
        <w:gridCol w:w="843"/>
        <w:gridCol w:w="846"/>
        <w:gridCol w:w="601"/>
        <w:gridCol w:w="2674"/>
        <w:gridCol w:w="478"/>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lineRule="auto" w:line="254"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Period</w:t>
            </w:r>
          </w:p>
        </w:tc>
        <w:tc>
          <w:tcPr>
            <w:tcW w:w="1520" w:type="dxa"/>
            <w:gridSpan w:val="3"/>
            <w:tcBorders/>
            <w:tcMar>
              <w:top w:w="0" w:type="dxa"/>
              <w:left w:w="0" w:type="dxa"/>
              <w:bottom w:w="0" w:type="dxa"/>
              <w:right w:w="0" w:type="dxa"/>
            </w:tcMar>
            <w:vAlign w:val="center"/>
          </w:tcPr>
          <w:p>
            <w:pPr>
              <w:pStyle w:val="TableContents"/>
              <w:bidi w:val="0"/>
              <w:spacing w:lineRule="auto" w:line="254" w:before="0" w:after="0"/>
              <w:jc w:val="center"/>
              <w:rPr/>
            </w:pPr>
            <w:r>
              <w:rPr>
                <w:rFonts w:ascii="Times New Roman;sans-serif" w:hAnsi="Times New Roman;sans-serif"/>
                <w:b w:val="false"/>
                <w:color w:val="000000"/>
                <w:sz w:val="18"/>
              </w:rPr>
              <w:t>Total Number of Shares Purchased</w:t>
            </w:r>
            <w:r>
              <w:rPr>
                <w:rFonts w:ascii="Times New Roman;sans-serif" w:hAnsi="Times New Roman;sans-serif"/>
                <w:b w:val="false"/>
                <w:color w:val="000000"/>
                <w:sz w:val="12"/>
              </w:rPr>
              <w:t>(1)</w:t>
            </w:r>
          </w:p>
        </w:tc>
        <w:tc>
          <w:tcPr>
            <w:tcW w:w="1313" w:type="dxa"/>
            <w:gridSpan w:val="3"/>
            <w:tcBorders/>
            <w:tcMar>
              <w:top w:w="0" w:type="dxa"/>
              <w:left w:w="0" w:type="dxa"/>
              <w:bottom w:w="0" w:type="dxa"/>
              <w:right w:w="0" w:type="dxa"/>
            </w:tcMar>
            <w:vAlign w:val="center"/>
          </w:tcPr>
          <w:p>
            <w:pPr>
              <w:pStyle w:val="TableContents"/>
              <w:bidi w:val="0"/>
              <w:spacing w:lineRule="auto" w:line="254"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Average Price Paid per Share</w:t>
            </w:r>
          </w:p>
        </w:tc>
        <w:tc>
          <w:tcPr>
            <w:tcW w:w="2532" w:type="dxa"/>
            <w:gridSpan w:val="3"/>
            <w:tcBorders/>
            <w:tcMar>
              <w:top w:w="0" w:type="dxa"/>
              <w:left w:w="0" w:type="dxa"/>
              <w:bottom w:w="0" w:type="dxa"/>
              <w:right w:w="0" w:type="dxa"/>
            </w:tcMar>
            <w:vAlign w:val="center"/>
          </w:tcPr>
          <w:p>
            <w:pPr>
              <w:pStyle w:val="TableContents"/>
              <w:bidi w:val="0"/>
              <w:spacing w:lineRule="auto" w:line="254" w:before="0" w:after="0"/>
              <w:jc w:val="center"/>
              <w:rPr/>
            </w:pPr>
            <w:r>
              <w:rPr>
                <w:rFonts w:ascii="Times New Roman;sans-serif" w:hAnsi="Times New Roman;sans-serif"/>
                <w:b w:val="false"/>
                <w:color w:val="000000"/>
                <w:sz w:val="18"/>
              </w:rPr>
              <w:t>Total Number of Shares Purchased as Part of Publicly Announced Program</w:t>
            </w:r>
            <w:r>
              <w:rPr>
                <w:rFonts w:ascii="Times New Roman;sans-serif" w:hAnsi="Times New Roman;sans-serif"/>
                <w:b w:val="false"/>
                <w:color w:val="000000"/>
                <w:sz w:val="12"/>
              </w:rPr>
              <w:t>(1)</w:t>
            </w:r>
          </w:p>
        </w:tc>
        <w:tc>
          <w:tcPr>
            <w:tcW w:w="3753" w:type="dxa"/>
            <w:gridSpan w:val="3"/>
            <w:tcBorders/>
            <w:tcMar>
              <w:top w:w="0" w:type="dxa"/>
              <w:left w:w="0" w:type="dxa"/>
              <w:bottom w:w="0" w:type="dxa"/>
              <w:right w:w="0" w:type="dxa"/>
            </w:tcMar>
            <w:vAlign w:val="center"/>
          </w:tcPr>
          <w:p>
            <w:pPr>
              <w:pStyle w:val="TableContents"/>
              <w:bidi w:val="0"/>
              <w:spacing w:lineRule="auto" w:line="254" w:before="0" w:after="0"/>
              <w:jc w:val="center"/>
              <w:rPr/>
            </w:pPr>
            <w:r>
              <w:rPr>
                <w:rFonts w:ascii="Times New Roman;sans-serif" w:hAnsi="Times New Roman;sans-serif"/>
                <w:b w:val="false"/>
                <w:color w:val="000000"/>
                <w:sz w:val="18"/>
              </w:rPr>
              <w:t>Approximate Dollar Value of Shares that May Yet Be Purchased Under Publicly Announced Program (in thousands)</w:t>
            </w:r>
            <w:r>
              <w:rPr>
                <w:rFonts w:ascii="Times New Roman;sans-serif" w:hAnsi="Times New Roman;sans-serif"/>
                <w:b w:val="false"/>
                <w:color w:val="000000"/>
                <w:sz w:val="12"/>
              </w:rPr>
              <w:t>(1)</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 – 28, 2025</w:t>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655,645</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655,645</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1,549,669 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March 1 – 31, 2025</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2,229,345</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2,229,345</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1,381,705 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April 1 – 30, 2025</w:t>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2,676,930</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2,676,930</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1,188,101 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5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5,561,920</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5,561,920</w:t>
            </w:r>
          </w:p>
        </w:tc>
        <w:tc>
          <w:tcPr>
            <w:tcW w:w="3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2"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 February 2024, our Board of Directors authorized a stock repurchase program of up to $1.5 billion of our Class A common stock, which we publicly announced on February 26, 2024. In November 2024, our Board of Directors authorized the repurchase of up to an additional $1.2 billion of our outstanding Class A common stock, which we publicly announced on November 25, 2024. Repurchases of our Class A common stock may be effected, from time to time, either on the open market (including pre-set trading plans), in privately negotiated transactions, and other transactions in accordance with applicable securities laws. The repurchase program does not obligate us to acquire any particular amount of Class A common stock, and the repurchase program may be suspended or discontinued at any time at our discretion. See Note 7 "Stockholders’ Equity and Equity Incentive Plans" of this Quarterly Report on Form 10-Q for additional information related to share repurchases. All shares purchased reported in this column were purchased pursuant to our publicly announced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56"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Trading Arrangements</w:t>
      </w:r>
    </w:p>
    <w:p>
      <w:pPr>
        <w:pStyle w:val="TextBody"/>
        <w:bidi w:val="0"/>
        <w:spacing w:lineRule="auto" w:line="25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Company’s last fiscal quarter, the Company’s directors and officers (as defined in Rule 16a-1(f) under the Exchange Act) adopted, modified, or terminated the contracts, instructions or written plans for the purchase or sale of the Company’s securities set forth in the table below.</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97205"/>
                <wp:effectExtent l="0" t="0" r="0" b="0"/>
                <wp:wrapNone/>
                <wp:docPr id="69" name="Frame6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54"/>
        <w:gridCol w:w="470"/>
        <w:gridCol w:w="472"/>
        <w:gridCol w:w="326"/>
        <w:gridCol w:w="326"/>
        <w:gridCol w:w="330"/>
        <w:gridCol w:w="517"/>
        <w:gridCol w:w="517"/>
        <w:gridCol w:w="519"/>
        <w:gridCol w:w="336"/>
        <w:gridCol w:w="336"/>
        <w:gridCol w:w="336"/>
        <w:gridCol w:w="336"/>
        <w:gridCol w:w="336"/>
        <w:gridCol w:w="343"/>
        <w:gridCol w:w="881"/>
        <w:gridCol w:w="881"/>
        <w:gridCol w:w="884"/>
        <w:gridCol w:w="407"/>
        <w:gridCol w:w="407"/>
        <w:gridCol w:w="591"/>
      </w:tblGrid>
      <w:tr>
        <w:trPr/>
        <w:tc>
          <w:tcPr>
            <w:tcW w:w="65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Type of Trading Arrangement</w:t>
            </w:r>
          </w:p>
        </w:tc>
        <w:tc>
          <w:tcPr>
            <w:tcW w:w="26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 and Position</w:t>
            </w:r>
          </w:p>
        </w:tc>
        <w:tc>
          <w:tcPr>
            <w:tcW w:w="9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15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Adoption/ Termination</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10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10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Non-</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2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Total Shares of Class A Common Stock to be Sold***</w:t>
            </w:r>
          </w:p>
        </w:tc>
        <w:tc>
          <w:tcPr>
            <w:tcW w:w="14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H.R. McMaster, Director</w:t>
            </w:r>
          </w:p>
        </w:tc>
        <w:tc>
          <w:tcPr>
            <w:tcW w:w="9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55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04/11/2025</w:t>
            </w:r>
          </w:p>
        </w:tc>
        <w:tc>
          <w:tcPr>
            <w:tcW w:w="10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1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3,505</w:t>
            </w:r>
          </w:p>
        </w:tc>
        <w:tc>
          <w:tcPr>
            <w:tcW w:w="14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07/15/2026</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Contract, instruction or written plan intended to satisfy the affirmative defense conditions of Rule 10b5-1(c) under the Exchange Act.</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“Non-Rule 10b5-1 trading arrangement” as defined in Item 408(c) of Regulation S-K under the Exchange Act.</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Represents the maximum number of shares that may be sold pursuant to the 10b5-1 arrangement. The actual number of shares sold will be dependent on the satisfaction of certain conditions as set forth in the written plan.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97205"/>
                <wp:effectExtent l="0" t="0" r="0" b="0"/>
                <wp:wrapNone/>
                <wp:docPr id="70" name="Frame7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1578"/>
        <w:gridCol w:w="1578"/>
        <w:gridCol w:w="1591"/>
        <w:gridCol w:w="109"/>
        <w:gridCol w:w="109"/>
        <w:gridCol w:w="109"/>
        <w:gridCol w:w="170"/>
        <w:gridCol w:w="170"/>
        <w:gridCol w:w="171"/>
        <w:gridCol w:w="109"/>
        <w:gridCol w:w="109"/>
        <w:gridCol w:w="109"/>
        <w:gridCol w:w="251"/>
        <w:gridCol w:w="251"/>
        <w:gridCol w:w="221"/>
        <w:gridCol w:w="109"/>
        <w:gridCol w:w="109"/>
        <w:gridCol w:w="109"/>
        <w:gridCol w:w="210"/>
        <w:gridCol w:w="210"/>
        <w:gridCol w:w="211"/>
        <w:gridCol w:w="109"/>
        <w:gridCol w:w="109"/>
        <w:gridCol w:w="109"/>
        <w:gridCol w:w="421"/>
        <w:gridCol w:w="400"/>
        <w:gridCol w:w="365"/>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7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7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Amended and Restated Certificate of Incorporation of Zoom Video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2019</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Certificate of Amendment to Certificate of Incorporation of Zoom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25,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Zoom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25,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50430xex311.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50430xex312.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50430xex321.htm">
              <w:r>
                <w:rPr>
                  <w:rStyle w:val="InternetLink"/>
                  <w:rFonts w:ascii="Times New Roman;sans-serif" w:hAnsi="Times New Roman;sans-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before="120" w:after="283"/>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97205"/>
                <wp:effectExtent l="0" t="0" r="0" b="0"/>
                <wp:wrapNone/>
                <wp:docPr id="71" name="Frame7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3ffbee2525c45f8999288e2b582f98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419" w:type="dxa"/>
        <w:jc w:val="left"/>
        <w:tblInd w:w="0" w:type="dxa"/>
        <w:tblLayout w:type="fixed"/>
        <w:tblCellMar>
          <w:top w:w="28" w:type="dxa"/>
          <w:left w:w="28" w:type="dxa"/>
          <w:bottom w:w="28" w:type="dxa"/>
          <w:right w:w="28" w:type="dxa"/>
        </w:tblCellMar>
      </w:tblPr>
      <w:tblGrid>
        <w:gridCol w:w="629"/>
        <w:gridCol w:w="554"/>
        <w:gridCol w:w="557"/>
        <w:gridCol w:w="490"/>
        <w:gridCol w:w="490"/>
        <w:gridCol w:w="490"/>
        <w:gridCol w:w="937"/>
        <w:gridCol w:w="937"/>
        <w:gridCol w:w="133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ZOOM COMMUNICATIONS,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23, 2025</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23, 2025</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Michelle Chang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Michelle Chang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97205"/>
                <wp:effectExtent l="0" t="0" r="0" b="0"/>
                <wp:wrapNone/>
                <wp:docPr id="72" name="Frame7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Eric S. Yuan,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Zoom Communications, Inc.;</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49" w:type="dxa"/>
        <w:jc w:val="left"/>
        <w:tblInd w:w="0" w:type="dxa"/>
        <w:tblLayout w:type="fixed"/>
        <w:tblCellMar>
          <w:top w:w="28" w:type="dxa"/>
          <w:left w:w="28" w:type="dxa"/>
          <w:bottom w:w="28" w:type="dxa"/>
          <w:right w:w="28" w:type="dxa"/>
        </w:tblCellMar>
      </w:tblPr>
      <w:tblGrid>
        <w:gridCol w:w="629"/>
        <w:gridCol w:w="554"/>
        <w:gridCol w:w="557"/>
        <w:gridCol w:w="936"/>
        <w:gridCol w:w="936"/>
        <w:gridCol w:w="133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23, 2025</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Michelle Chang,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Zoom Communications, Inc.;</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60" w:type="dxa"/>
        <w:jc w:val="left"/>
        <w:tblInd w:w="0" w:type="dxa"/>
        <w:tblLayout w:type="fixed"/>
        <w:tblCellMar>
          <w:top w:w="28" w:type="dxa"/>
          <w:left w:w="28" w:type="dxa"/>
          <w:bottom w:w="28" w:type="dxa"/>
          <w:right w:w="28" w:type="dxa"/>
        </w:tblCellMar>
      </w:tblPr>
      <w:tblGrid>
        <w:gridCol w:w="629"/>
        <w:gridCol w:w="554"/>
        <w:gridCol w:w="557"/>
        <w:gridCol w:w="737"/>
        <w:gridCol w:w="737"/>
        <w:gridCol w:w="104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Michelle Chang</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23, 2025</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Michelle Chang</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 OF THE SARBANES-OXLEY ACT OF 2002</w:t>
      </w:r>
    </w:p>
    <w:p>
      <w:pPr>
        <w:pStyle w:val="TextBody"/>
        <w:bidi w:val="0"/>
        <w:spacing w:before="20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Communications, Inc. for the fiscal quarter ended April 30, 2025 fully complies with the requirements of Section 13(a) or 15(d) of the Exchange Act and that information contained in such Quarterly Report on Form 10-Q fairly presents, in all material respects, the financial condition and results of operations of Zoom Communications, Inc.</w:t>
      </w:r>
    </w:p>
    <w:tbl>
      <w:tblPr>
        <w:tblW w:w="5353"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936"/>
        <w:gridCol w:w="936"/>
        <w:gridCol w:w="133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23,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Michelle Chang, certify, pursuant to the requirement set forth in Rule 13a-14(b) of the Exchange Act and 18 U.S.C. Section 1350, as adopted pursuant to Section 906 of the Sarbanes-Oxley Act of 2002, that to the best of my knowledge, the Quarterly Report on Form 10-Q of Zoom Communications, Inc. for the fiscal quarter ended April 30, 2025 fully complies with the requirements of Section 13(a) or 15(d) of the Exchange Act and that information contained in such Quarterly Report on Form 10-Q fairly presents, in all material respects, the financial condition and results of operations of Zoom Communications, Inc.</w:t>
      </w:r>
    </w:p>
    <w:tbl>
      <w:tblPr>
        <w:tblW w:w="4664"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737"/>
        <w:gridCol w:w="737"/>
        <w:gridCol w:w="104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23,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Michelle Chang</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Michelle Chang</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5521/000119312519115111/d736915dex31.htm" TargetMode="External"/><Relationship Id="rId3" Type="http://schemas.openxmlformats.org/officeDocument/2006/relationships/hyperlink" Target="https://www.sec.gov/Archives/edgar/data/1585521/000158552124000257/certificateofamendmenttoce.htm" TargetMode="External"/><Relationship Id="rId4" Type="http://schemas.openxmlformats.org/officeDocument/2006/relationships/hyperlink" Target="https://www.sec.gov/Archives/edgar/data/1585521/000158552124000257/amendedandrestatedbylaws.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49196</Words>
  <Characters>275312</Characters>
  <CharactersWithSpaces>322942</CharactersWithSpaces>
  <Paragraphs>2591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