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257175</wp:posOffset>
            </wp:positionV>
            <wp:extent cx="7120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281940</wp:posOffset>
            </wp:positionV>
            <wp:extent cx="7120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3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3" w:lineRule="exact"/>
        <w:rPr>
          <w:sz w:val="24"/>
          <w:szCs w:val="24"/>
          <w:color w:val="auto"/>
        </w:rPr>
      </w:pPr>
    </w:p>
    <w:p>
      <w:pPr>
        <w:ind w:left="560" w:hanging="538"/>
        <w:spacing w:after="0"/>
        <w:tabs>
          <w:tab w:leader="none" w:pos="56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January 31, 2022</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3" w:lineRule="exact"/>
        <w:rPr>
          <w:sz w:val="24"/>
          <w:szCs w:val="24"/>
          <w:color w:val="auto"/>
        </w:rPr>
      </w:pPr>
    </w:p>
    <w:p>
      <w:pPr>
        <w:ind w:left="580" w:hanging="538"/>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54" w:lineRule="exact"/>
        <w:rPr>
          <w:sz w:val="24"/>
          <w:szCs w:val="24"/>
          <w:color w:val="auto"/>
        </w:rPr>
      </w:pPr>
    </w:p>
    <w:p>
      <w:pPr>
        <w:ind w:left="3120"/>
        <w:spacing w:after="0"/>
        <w:tabs>
          <w:tab w:leader="none" w:pos="7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4059555</wp:posOffset>
            </wp:positionH>
            <wp:positionV relativeFrom="paragraph">
              <wp:posOffset>-3810</wp:posOffset>
            </wp:positionV>
            <wp:extent cx="1097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001-38865</w:t>
      </w:r>
    </w:p>
    <w:p>
      <w:pPr>
        <w:spacing w:after="0" w:line="2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Zoom Video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330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28" w:lineRule="exact"/>
        <w:rPr>
          <w:sz w:val="24"/>
          <w:szCs w:val="24"/>
          <w:color w:val="auto"/>
        </w:rPr>
      </w:pPr>
    </w:p>
    <w:tbl>
      <w:tblPr>
        <w:tblLayout w:type="fixed"/>
        <w:tblInd w:w="1720" w:type="dxa"/>
        <w:tblCellMar>
          <w:top w:w="0" w:type="dxa"/>
          <w:left w:w="0" w:type="dxa"/>
          <w:bottom w:w="0" w:type="dxa"/>
          <w:right w:w="0" w:type="dxa"/>
        </w:tblCellMar>
      </w:tblPr>
      <w:tr>
        <w:trPr>
          <w:trHeight w:val="204"/>
        </w:trPr>
        <w:tc>
          <w:tcPr>
            <w:tcW w:w="4140" w:type="dxa"/>
            <w:vAlign w:val="bottom"/>
          </w:tcPr>
          <w:p>
            <w:pPr>
              <w:jc w:val="center"/>
              <w:ind w:right="1862"/>
              <w:spacing w:after="0"/>
              <w:rPr>
                <w:sz w:val="20"/>
                <w:szCs w:val="20"/>
                <w:color w:val="auto"/>
              </w:rPr>
            </w:pPr>
            <w:r>
              <w:rPr>
                <w:rFonts w:ascii="Arial" w:cs="Arial" w:eastAsia="Arial" w:hAnsi="Arial"/>
                <w:sz w:val="16"/>
                <w:szCs w:val="16"/>
                <w:b w:val="1"/>
                <w:bCs w:val="1"/>
                <w:color w:val="auto"/>
                <w:w w:val="91"/>
              </w:rPr>
              <w:t>Delaware</w:t>
            </w:r>
          </w:p>
        </w:tc>
        <w:tc>
          <w:tcPr>
            <w:tcW w:w="3180" w:type="dxa"/>
            <w:vAlign w:val="bottom"/>
          </w:tcPr>
          <w:p>
            <w:pPr>
              <w:jc w:val="center"/>
              <w:ind w:left="1862"/>
              <w:spacing w:after="0"/>
              <w:rPr>
                <w:sz w:val="20"/>
                <w:szCs w:val="20"/>
                <w:color w:val="auto"/>
              </w:rPr>
            </w:pPr>
            <w:r>
              <w:rPr>
                <w:rFonts w:ascii="Arial" w:cs="Arial" w:eastAsia="Arial" w:hAnsi="Arial"/>
                <w:sz w:val="16"/>
                <w:szCs w:val="16"/>
                <w:b w:val="1"/>
                <w:bCs w:val="1"/>
                <w:color w:val="auto"/>
                <w:w w:val="88"/>
              </w:rPr>
              <w:t>61-1648780</w:t>
            </w:r>
          </w:p>
        </w:tc>
      </w:tr>
      <w:tr>
        <w:trPr>
          <w:trHeight w:val="163"/>
        </w:trPr>
        <w:tc>
          <w:tcPr>
            <w:tcW w:w="4140" w:type="dxa"/>
            <w:vAlign w:val="bottom"/>
          </w:tcPr>
          <w:p>
            <w:pPr>
              <w:jc w:val="center"/>
              <w:ind w:right="1862"/>
              <w:spacing w:after="0" w:line="163" w:lineRule="exact"/>
              <w:rPr>
                <w:sz w:val="20"/>
                <w:szCs w:val="20"/>
                <w:color w:val="auto"/>
              </w:rPr>
            </w:pPr>
            <w:r>
              <w:rPr>
                <w:rFonts w:ascii="Arial" w:cs="Arial" w:eastAsia="Arial" w:hAnsi="Arial"/>
                <w:sz w:val="16"/>
                <w:szCs w:val="16"/>
                <w:b w:val="1"/>
                <w:bCs w:val="1"/>
                <w:color w:val="auto"/>
                <w:w w:val="89"/>
              </w:rPr>
              <w:t>(State or other jurisdiction</w:t>
            </w:r>
          </w:p>
        </w:tc>
        <w:tc>
          <w:tcPr>
            <w:tcW w:w="3180" w:type="dxa"/>
            <w:vAlign w:val="bottom"/>
          </w:tcPr>
          <w:p>
            <w:pPr>
              <w:jc w:val="center"/>
              <w:ind w:left="1862"/>
              <w:spacing w:after="0" w:line="163" w:lineRule="exact"/>
              <w:rPr>
                <w:sz w:val="20"/>
                <w:szCs w:val="20"/>
                <w:color w:val="auto"/>
              </w:rPr>
            </w:pPr>
            <w:r>
              <w:rPr>
                <w:rFonts w:ascii="Arial" w:cs="Arial" w:eastAsia="Arial" w:hAnsi="Arial"/>
                <w:sz w:val="16"/>
                <w:szCs w:val="16"/>
                <w:b w:val="1"/>
                <w:bCs w:val="1"/>
                <w:color w:val="auto"/>
                <w:w w:val="91"/>
              </w:rPr>
              <w:t>(I.R.S. Employer</w:t>
            </w:r>
          </w:p>
        </w:tc>
      </w:tr>
      <w:tr>
        <w:trPr>
          <w:trHeight w:val="204"/>
        </w:trPr>
        <w:tc>
          <w:tcPr>
            <w:tcW w:w="4140" w:type="dxa"/>
            <w:vAlign w:val="bottom"/>
          </w:tcPr>
          <w:p>
            <w:pPr>
              <w:jc w:val="center"/>
              <w:ind w:right="1862"/>
              <w:spacing w:after="0"/>
              <w:rPr>
                <w:sz w:val="20"/>
                <w:szCs w:val="20"/>
                <w:color w:val="auto"/>
              </w:rPr>
            </w:pPr>
            <w:r>
              <w:rPr>
                <w:rFonts w:ascii="Arial" w:cs="Arial" w:eastAsia="Arial" w:hAnsi="Arial"/>
                <w:sz w:val="16"/>
                <w:szCs w:val="16"/>
                <w:b w:val="1"/>
                <w:bCs w:val="1"/>
                <w:color w:val="auto"/>
                <w:w w:val="88"/>
              </w:rPr>
              <w:t>of incorporation or organization)</w:t>
            </w:r>
          </w:p>
        </w:tc>
        <w:tc>
          <w:tcPr>
            <w:tcW w:w="3180" w:type="dxa"/>
            <w:vAlign w:val="bottom"/>
          </w:tcPr>
          <w:p>
            <w:pPr>
              <w:jc w:val="center"/>
              <w:ind w:left="1862"/>
              <w:spacing w:after="0"/>
              <w:rPr>
                <w:sz w:val="20"/>
                <w:szCs w:val="20"/>
                <w:color w:val="auto"/>
              </w:rPr>
            </w:pPr>
            <w:r>
              <w:rPr>
                <w:rFonts w:ascii="Arial" w:cs="Arial" w:eastAsia="Arial" w:hAnsi="Arial"/>
                <w:sz w:val="16"/>
                <w:szCs w:val="16"/>
                <w:b w:val="1"/>
                <w:bCs w:val="1"/>
                <w:color w:val="auto"/>
                <w:w w:val="91"/>
              </w:rPr>
              <w:t>Identification No.)</w:t>
            </w:r>
          </w:p>
        </w:tc>
      </w:tr>
    </w:tbl>
    <w:p>
      <w:pPr>
        <w:spacing w:after="0" w:line="118" w:lineRule="exact"/>
        <w:rPr>
          <w:sz w:val="24"/>
          <w:szCs w:val="24"/>
          <w:color w:val="auto"/>
        </w:rPr>
      </w:pPr>
    </w:p>
    <w:p>
      <w:pPr>
        <w:ind w:left="4380"/>
        <w:spacing w:after="0"/>
        <w:rPr>
          <w:sz w:val="20"/>
          <w:szCs w:val="20"/>
          <w:color w:val="auto"/>
        </w:rPr>
      </w:pPr>
      <w:r>
        <w:rPr>
          <w:rFonts w:ascii="Arial" w:cs="Arial" w:eastAsia="Arial" w:hAnsi="Arial"/>
          <w:sz w:val="17"/>
          <w:szCs w:val="17"/>
          <w:b w:val="1"/>
          <w:bCs w:val="1"/>
          <w:color w:val="auto"/>
        </w:rPr>
        <w:t>55 Almaden Boulevard, 6</w:t>
      </w:r>
      <w:r>
        <w:rPr>
          <w:rFonts w:ascii="Arial" w:cs="Arial" w:eastAsia="Arial" w:hAnsi="Arial"/>
          <w:sz w:val="15"/>
          <w:szCs w:val="15"/>
          <w:b w:val="1"/>
          <w:bCs w:val="1"/>
          <w:color w:val="auto"/>
        </w:rPr>
        <w:t>th</w:t>
      </w:r>
      <w:r>
        <w:rPr>
          <w:rFonts w:ascii="Arial" w:cs="Arial" w:eastAsia="Arial" w:hAnsi="Arial"/>
          <w:sz w:val="17"/>
          <w:szCs w:val="17"/>
          <w:b w:val="1"/>
          <w:bCs w:val="1"/>
          <w:color w:val="auto"/>
        </w:rPr>
        <w:t xml:space="preserve"> Floor</w:t>
      </w:r>
    </w:p>
    <w:p>
      <w:pPr>
        <w:spacing w:after="0" w:line="32"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San Jose, California 95113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and Zip Code)</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ind w:left="330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00"/>
        </w:trPr>
        <w:tc>
          <w:tcPr>
            <w:tcW w:w="3660" w:type="dxa"/>
            <w:vAlign w:val="bottom"/>
          </w:tcPr>
          <w:p>
            <w:pPr>
              <w:spacing w:after="0"/>
              <w:rPr>
                <w:sz w:val="17"/>
                <w:szCs w:val="17"/>
                <w:color w:val="auto"/>
              </w:rPr>
            </w:pPr>
          </w:p>
        </w:tc>
        <w:tc>
          <w:tcPr>
            <w:tcW w:w="3840" w:type="dxa"/>
            <w:vAlign w:val="bottom"/>
            <w:gridSpan w:val="5"/>
          </w:tcPr>
          <w:p>
            <w:pPr>
              <w:jc w:val="center"/>
              <w:spacing w:after="0"/>
              <w:rPr>
                <w:sz w:val="20"/>
                <w:szCs w:val="20"/>
                <w:color w:val="auto"/>
              </w:rPr>
            </w:pPr>
            <w:r>
              <w:rPr>
                <w:rFonts w:ascii="Arial" w:cs="Arial" w:eastAsia="Arial" w:hAnsi="Arial"/>
                <w:sz w:val="16"/>
                <w:szCs w:val="16"/>
                <w:color w:val="auto"/>
                <w:w w:val="89"/>
              </w:rPr>
              <w:t>Securities registered pursuant to Section 12(b) of the Act:</w:t>
            </w:r>
          </w:p>
        </w:tc>
        <w:tc>
          <w:tcPr>
            <w:tcW w:w="3700" w:type="dxa"/>
            <w:vAlign w:val="bottom"/>
          </w:tcPr>
          <w:p>
            <w:pPr>
              <w:spacing w:after="0"/>
              <w:rPr>
                <w:sz w:val="17"/>
                <w:szCs w:val="17"/>
                <w:color w:val="auto"/>
              </w:rPr>
            </w:pPr>
          </w:p>
        </w:tc>
      </w:tr>
      <w:tr>
        <w:trPr>
          <w:trHeight w:val="225"/>
        </w:trPr>
        <w:tc>
          <w:tcPr>
            <w:tcW w:w="3660" w:type="dxa"/>
            <w:vAlign w:val="bottom"/>
          </w:tcPr>
          <w:p>
            <w:pPr>
              <w:jc w:val="center"/>
              <w:ind w:left="486"/>
              <w:spacing w:after="0"/>
              <w:rPr>
                <w:sz w:val="20"/>
                <w:szCs w:val="20"/>
                <w:color w:val="auto"/>
              </w:rPr>
            </w:pPr>
            <w:r>
              <w:rPr>
                <w:rFonts w:ascii="Arial" w:cs="Arial" w:eastAsia="Arial" w:hAnsi="Arial"/>
                <w:sz w:val="16"/>
                <w:szCs w:val="16"/>
                <w:b w:val="1"/>
                <w:bCs w:val="1"/>
                <w:color w:val="auto"/>
                <w:w w:val="85"/>
              </w:rPr>
              <w:t>Title of each class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88"/>
              </w:rPr>
              <w:t>Trading Symbol(s)</w:t>
            </w:r>
          </w:p>
        </w:tc>
        <w:tc>
          <w:tcPr>
            <w:tcW w:w="3700" w:type="dxa"/>
            <w:vAlign w:val="bottom"/>
          </w:tcPr>
          <w:p>
            <w:pPr>
              <w:jc w:val="center"/>
              <w:ind w:right="506"/>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74"/>
        </w:trPr>
        <w:tc>
          <w:tcPr>
            <w:tcW w:w="3660" w:type="dxa"/>
            <w:vAlign w:val="bottom"/>
            <w:tcBorders>
              <w:top w:val="single" w:sz="8" w:color="auto"/>
            </w:tcBorders>
          </w:tcPr>
          <w:p>
            <w:pPr>
              <w:jc w:val="center"/>
              <w:ind w:left="466"/>
              <w:spacing w:after="0"/>
              <w:rPr>
                <w:sz w:val="20"/>
                <w:szCs w:val="20"/>
                <w:color w:val="auto"/>
              </w:rPr>
            </w:pPr>
            <w:r>
              <w:rPr>
                <w:rFonts w:ascii="Arial" w:cs="Arial" w:eastAsia="Arial" w:hAnsi="Arial"/>
                <w:sz w:val="14"/>
                <w:szCs w:val="14"/>
                <w:color w:val="auto"/>
                <w:w w:val="89"/>
              </w:rPr>
              <w:t>Class A Common Stock, $0.001 par value per share</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ZM</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700" w:type="dxa"/>
            <w:vAlign w:val="bottom"/>
            <w:tcBorders>
              <w:top w:val="single" w:sz="8" w:color="auto"/>
            </w:tcBorders>
          </w:tcPr>
          <w:p>
            <w:pPr>
              <w:jc w:val="center"/>
              <w:ind w:right="506"/>
              <w:spacing w:after="0"/>
              <w:rPr>
                <w:sz w:val="20"/>
                <w:szCs w:val="20"/>
                <w:color w:val="auto"/>
              </w:rPr>
            </w:pPr>
            <w:r>
              <w:rPr>
                <w:rFonts w:ascii="Arial" w:cs="Arial" w:eastAsia="Arial" w:hAnsi="Arial"/>
                <w:sz w:val="14"/>
                <w:szCs w:val="14"/>
                <w:color w:val="auto"/>
                <w:w w:val="89"/>
              </w:rPr>
              <w:t>The Nasdaq Global Select Market</w:t>
            </w:r>
          </w:p>
        </w:tc>
      </w:tr>
    </w:tbl>
    <w:p>
      <w:pPr>
        <w:spacing w:after="0" w:line="92"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4" w:lineRule="exact"/>
        <w:rPr>
          <w:sz w:val="24"/>
          <w:szCs w:val="24"/>
          <w:color w:val="auto"/>
        </w:rPr>
      </w:pPr>
    </w:p>
    <w:p>
      <w:pPr>
        <w:spacing w:after="0" w:line="161" w:lineRule="exact"/>
        <w:tabs>
          <w:tab w:leader="none" w:pos="9640" w:val="left"/>
          <w:tab w:leader="none" w:pos="101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Securities Exchange Act of 1934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3" w:lineRule="exact"/>
        <w:rPr>
          <w:sz w:val="24"/>
          <w:szCs w:val="24"/>
          <w:color w:val="auto"/>
        </w:rPr>
      </w:pPr>
    </w:p>
    <w:p>
      <w:pPr>
        <w:jc w:val="both"/>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jc w:val="both"/>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7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3"/>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7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7"/>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10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460" w:val="left"/>
          <w:tab w:leader="none" w:pos="70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160"/>
        <w:spacing w:after="0" w:line="239"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July 30, 2021 as reported by the Nasdaq Global Select Market on such date was approximately $93.2 billion. This calculation does not reflect a determination that certain persons are affiliates of the registrant for any other purpose.</w:t>
      </w:r>
    </w:p>
    <w:p>
      <w:pPr>
        <w:spacing w:after="0" w:line="1" w:lineRule="exact"/>
        <w:rPr>
          <w:sz w:val="24"/>
          <w:szCs w:val="24"/>
          <w:color w:val="auto"/>
        </w:rPr>
      </w:pPr>
    </w:p>
    <w:p>
      <w:pPr>
        <w:spacing w:after="0" w:line="241" w:lineRule="auto"/>
        <w:rPr>
          <w:sz w:val="20"/>
          <w:szCs w:val="20"/>
          <w:color w:val="auto"/>
        </w:rPr>
      </w:pPr>
      <w:r>
        <w:rPr>
          <w:rFonts w:ascii="Arial" w:cs="Arial" w:eastAsia="Arial" w:hAnsi="Arial"/>
          <w:sz w:val="14"/>
          <w:szCs w:val="14"/>
          <w:color w:val="auto"/>
        </w:rPr>
        <w:t>As of February 18, 2022, the number of shares of the registrant’s Class A common stock outstanding was 247,289,260 and the number of shares of the registrant’s Class B common stock outstanding was 51,834,703.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292100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281940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DOCUMENTS INCORPORATED BY REFERENCE</w:t>
      </w:r>
    </w:p>
    <w:p>
      <w:pPr>
        <w:spacing w:after="0" w:line="231"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Portions of the registrant's definitive Proxy Statement relating to the 2022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Auditor Name: KPMG LLP Auditor Location: San Francisco, California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303530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934"/>
        </w:trPr>
        <w:tc>
          <w:tcPr>
            <w:tcW w:w="12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20" w:type="dxa"/>
            <w:vAlign w:val="bottom"/>
            <w:gridSpan w:val="10"/>
          </w:tcPr>
          <w:p>
            <w:pPr>
              <w:jc w:val="center"/>
              <w:ind w:right="2840"/>
              <w:spacing w:after="0"/>
              <w:rPr>
                <w:sz w:val="20"/>
                <w:szCs w:val="20"/>
                <w:color w:val="auto"/>
              </w:rPr>
            </w:pPr>
            <w:r>
              <w:rPr>
                <w:rFonts w:ascii="Arial" w:cs="Arial" w:eastAsia="Arial" w:hAnsi="Arial"/>
                <w:sz w:val="17"/>
                <w:szCs w:val="17"/>
                <w:b w:val="1"/>
                <w:bCs w:val="1"/>
                <w:color w:val="auto"/>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8"/>
        </w:trPr>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20" w:type="dxa"/>
            <w:vAlign w:val="bottom"/>
            <w:gridSpan w:val="9"/>
          </w:tcPr>
          <w:p>
            <w:pPr>
              <w:jc w:val="center"/>
              <w:ind w:right="3220"/>
              <w:spacing w:after="0"/>
              <w:rPr>
                <w:sz w:val="20"/>
                <w:szCs w:val="20"/>
                <w:color w:val="auto"/>
              </w:rPr>
            </w:pPr>
            <w:r>
              <w:rPr>
                <w:rFonts w:ascii="Arial" w:cs="Arial" w:eastAsia="Arial" w:hAnsi="Arial"/>
                <w:sz w:val="17"/>
                <w:szCs w:val="17"/>
                <w:b w:val="1"/>
                <w:bCs w:val="1"/>
                <w:color w:val="auto"/>
              </w:rPr>
              <w:t>Part I</w:t>
            </w: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7"/>
                <w:szCs w:val="17"/>
                <w:b w:val="1"/>
                <w:bCs w:val="1"/>
                <w:color w:val="auto"/>
              </w:rPr>
              <w:t>Page</w:t>
            </w:r>
          </w:p>
        </w:tc>
      </w:tr>
      <w:tr>
        <w:trPr>
          <w:trHeight w:val="176"/>
        </w:trPr>
        <w:tc>
          <w:tcPr>
            <w:tcW w:w="152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Item 1.</w:t>
            </w:r>
          </w:p>
        </w:tc>
        <w:tc>
          <w:tcPr>
            <w:tcW w:w="8240" w:type="dxa"/>
            <w:vAlign w:val="bottom"/>
            <w:gridSpan w:val="19"/>
          </w:tcPr>
          <w:p>
            <w:pPr>
              <w:spacing w:after="0" w:line="176" w:lineRule="exact"/>
              <w:rPr>
                <w:rFonts w:ascii="Arial" w:cs="Arial" w:eastAsia="Arial" w:hAnsi="Arial"/>
                <w:sz w:val="17"/>
                <w:szCs w:val="17"/>
                <w:color w:val="0000FF"/>
              </w:rPr>
            </w:pPr>
            <w:hyperlink w:anchor="page7">
              <w:r>
                <w:rPr>
                  <w:rFonts w:ascii="Arial" w:cs="Arial" w:eastAsia="Arial" w:hAnsi="Arial"/>
                  <w:sz w:val="17"/>
                  <w:szCs w:val="17"/>
                  <w:color w:val="0000FF"/>
                </w:rPr>
                <w:t>Business</w:t>
              </w:r>
            </w:hyperlink>
          </w:p>
        </w:tc>
        <w:tc>
          <w:tcPr>
            <w:tcW w:w="780" w:type="dxa"/>
            <w:vAlign w:val="bottom"/>
            <w:gridSpan w:val="2"/>
          </w:tcPr>
          <w:p>
            <w:pPr>
              <w:jc w:val="center"/>
              <w:ind w:left="613"/>
              <w:spacing w:after="0" w:line="176" w:lineRule="exact"/>
              <w:rPr>
                <w:rFonts w:ascii="Arial" w:cs="Arial" w:eastAsia="Arial" w:hAnsi="Arial"/>
                <w:sz w:val="17"/>
                <w:szCs w:val="17"/>
                <w:color w:val="0000FF"/>
                <w:w w:val="84"/>
              </w:rPr>
            </w:pPr>
            <w:hyperlink w:anchor="page7">
              <w:r>
                <w:rPr>
                  <w:rFonts w:ascii="Arial" w:cs="Arial" w:eastAsia="Arial" w:hAnsi="Arial"/>
                  <w:sz w:val="17"/>
                  <w:szCs w:val="17"/>
                  <w:color w:val="0000FF"/>
                  <w:w w:val="84"/>
                </w:rPr>
                <w:t>6</w:t>
              </w:r>
            </w:hyperlink>
          </w:p>
        </w:tc>
        <w:tc>
          <w:tcPr>
            <w:tcW w:w="700" w:type="dxa"/>
            <w:vAlign w:val="bottom"/>
          </w:tcPr>
          <w:p>
            <w:pPr>
              <w:spacing w:after="0"/>
              <w:rPr>
                <w:sz w:val="15"/>
                <w:szCs w:val="15"/>
                <w:color w:val="auto"/>
              </w:rPr>
            </w:pPr>
          </w:p>
        </w:tc>
      </w:tr>
      <w:tr>
        <w:trPr>
          <w:trHeight w:val="20"/>
        </w:trPr>
        <w:tc>
          <w:tcPr>
            <w:tcW w:w="15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1A.</w:t>
            </w:r>
          </w:p>
        </w:tc>
        <w:tc>
          <w:tcPr>
            <w:tcW w:w="8240" w:type="dxa"/>
            <w:vAlign w:val="bottom"/>
            <w:gridSpan w:val="19"/>
          </w:tcPr>
          <w:p>
            <w:pPr>
              <w:spacing w:after="0"/>
              <w:rPr>
                <w:rFonts w:ascii="Arial" w:cs="Arial" w:eastAsia="Arial" w:hAnsi="Arial"/>
                <w:sz w:val="17"/>
                <w:szCs w:val="17"/>
                <w:color w:val="0000FF"/>
              </w:rPr>
            </w:pPr>
            <w:hyperlink w:anchor="page13">
              <w:r>
                <w:rPr>
                  <w:rFonts w:ascii="Arial" w:cs="Arial" w:eastAsia="Arial" w:hAnsi="Arial"/>
                  <w:sz w:val="17"/>
                  <w:szCs w:val="17"/>
                  <w:color w:val="0000FF"/>
                </w:rPr>
                <w:t>Risk Factors</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13">
              <w:r>
                <w:rPr>
                  <w:rFonts w:ascii="Arial" w:cs="Arial" w:eastAsia="Arial" w:hAnsi="Arial"/>
                  <w:sz w:val="17"/>
                  <w:szCs w:val="17"/>
                  <w:color w:val="0000FF"/>
                  <w:w w:val="84"/>
                </w:rPr>
                <w:t>12</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1B.</w:t>
            </w:r>
          </w:p>
        </w:tc>
        <w:tc>
          <w:tcPr>
            <w:tcW w:w="8240" w:type="dxa"/>
            <w:vAlign w:val="bottom"/>
            <w:gridSpan w:val="19"/>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Unresolved Staff Comments</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43">
              <w:r>
                <w:rPr>
                  <w:rFonts w:ascii="Arial" w:cs="Arial" w:eastAsia="Arial" w:hAnsi="Arial"/>
                  <w:sz w:val="17"/>
                  <w:szCs w:val="17"/>
                  <w:color w:val="0000FF"/>
                  <w:w w:val="84"/>
                </w:rPr>
                <w:t>42</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2.</w:t>
            </w:r>
          </w:p>
        </w:tc>
        <w:tc>
          <w:tcPr>
            <w:tcW w:w="720" w:type="dxa"/>
            <w:vAlign w:val="bottom"/>
            <w:gridSpan w:val="2"/>
          </w:tcPr>
          <w:p>
            <w:pPr>
              <w:spacing w:after="0"/>
              <w:rPr>
                <w:rFonts w:ascii="Arial" w:cs="Arial" w:eastAsia="Arial" w:hAnsi="Arial"/>
                <w:sz w:val="17"/>
                <w:szCs w:val="17"/>
                <w:color w:val="0000FF"/>
                <w:w w:val="87"/>
              </w:rPr>
            </w:pPr>
            <w:hyperlink w:anchor="page43">
              <w:r>
                <w:rPr>
                  <w:rFonts w:ascii="Arial" w:cs="Arial" w:eastAsia="Arial" w:hAnsi="Arial"/>
                  <w:sz w:val="17"/>
                  <w:szCs w:val="17"/>
                  <w:color w:val="0000FF"/>
                  <w:w w:val="87"/>
                </w:rPr>
                <w:t>Properties</w:t>
              </w:r>
            </w:hyperlink>
          </w:p>
        </w:tc>
        <w:tc>
          <w:tcPr>
            <w:tcW w:w="1260" w:type="dxa"/>
            <w:vAlign w:val="bottom"/>
            <w:gridSpan w:val="6"/>
          </w:tcPr>
          <w:p>
            <w:pPr>
              <w:spacing w:after="0"/>
              <w:rPr>
                <w:sz w:val="17"/>
                <w:szCs w:val="17"/>
                <w:color w:val="auto"/>
              </w:rPr>
            </w:pPr>
          </w:p>
        </w:tc>
        <w:tc>
          <w:tcPr>
            <w:tcW w:w="6260" w:type="dxa"/>
            <w:vAlign w:val="bottom"/>
            <w:gridSpan w:val="11"/>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43">
              <w:r>
                <w:rPr>
                  <w:rFonts w:ascii="Arial" w:cs="Arial" w:eastAsia="Arial" w:hAnsi="Arial"/>
                  <w:sz w:val="17"/>
                  <w:szCs w:val="17"/>
                  <w:color w:val="0000FF"/>
                  <w:w w:val="84"/>
                </w:rPr>
                <w:t>42</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3.</w:t>
            </w:r>
          </w:p>
        </w:tc>
        <w:tc>
          <w:tcPr>
            <w:tcW w:w="1280" w:type="dxa"/>
            <w:vAlign w:val="bottom"/>
            <w:gridSpan w:val="4"/>
          </w:tcPr>
          <w:p>
            <w:pPr>
              <w:spacing w:after="0"/>
              <w:rPr>
                <w:rFonts w:ascii="Arial" w:cs="Arial" w:eastAsia="Arial" w:hAnsi="Arial"/>
                <w:sz w:val="17"/>
                <w:szCs w:val="17"/>
                <w:color w:val="0000FF"/>
                <w:w w:val="88"/>
              </w:rPr>
            </w:pPr>
            <w:hyperlink w:anchor="page43">
              <w:r>
                <w:rPr>
                  <w:rFonts w:ascii="Arial" w:cs="Arial" w:eastAsia="Arial" w:hAnsi="Arial"/>
                  <w:sz w:val="17"/>
                  <w:szCs w:val="17"/>
                  <w:color w:val="0000FF"/>
                  <w:w w:val="88"/>
                </w:rPr>
                <w:t>Legal Proceedings</w:t>
              </w:r>
            </w:hyperlink>
          </w:p>
        </w:tc>
        <w:tc>
          <w:tcPr>
            <w:tcW w:w="6960" w:type="dxa"/>
            <w:vAlign w:val="bottom"/>
            <w:gridSpan w:val="15"/>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43">
              <w:r>
                <w:rPr>
                  <w:rFonts w:ascii="Arial" w:cs="Arial" w:eastAsia="Arial" w:hAnsi="Arial"/>
                  <w:sz w:val="17"/>
                  <w:szCs w:val="17"/>
                  <w:color w:val="0000FF"/>
                  <w:w w:val="84"/>
                </w:rPr>
                <w:t>42</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4.</w:t>
            </w:r>
          </w:p>
        </w:tc>
        <w:tc>
          <w:tcPr>
            <w:tcW w:w="8240" w:type="dxa"/>
            <w:vAlign w:val="bottom"/>
            <w:gridSpan w:val="19"/>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Mine Safety Disclosures</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43">
              <w:r>
                <w:rPr>
                  <w:rFonts w:ascii="Arial" w:cs="Arial" w:eastAsia="Arial" w:hAnsi="Arial"/>
                  <w:sz w:val="17"/>
                  <w:szCs w:val="17"/>
                  <w:color w:val="0000FF"/>
                  <w:w w:val="84"/>
                </w:rPr>
                <w:t>42</w:t>
              </w:r>
            </w:hyperlink>
          </w:p>
        </w:tc>
      </w:tr>
      <w:tr>
        <w:trPr>
          <w:trHeight w:val="241"/>
        </w:trPr>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20" w:type="dxa"/>
            <w:vAlign w:val="bottom"/>
            <w:gridSpan w:val="9"/>
          </w:tcPr>
          <w:p>
            <w:pPr>
              <w:jc w:val="center"/>
              <w:ind w:right="3240"/>
              <w:spacing w:after="0"/>
              <w:rPr>
                <w:sz w:val="20"/>
                <w:szCs w:val="20"/>
                <w:color w:val="auto"/>
              </w:rPr>
            </w:pPr>
            <w:r>
              <w:rPr>
                <w:rFonts w:ascii="Arial" w:cs="Arial" w:eastAsia="Arial" w:hAnsi="Arial"/>
                <w:sz w:val="17"/>
                <w:szCs w:val="17"/>
                <w:b w:val="1"/>
                <w:bCs w:val="1"/>
                <w:color w:val="auto"/>
              </w:rPr>
              <w:t>Part II</w:t>
            </w:r>
          </w:p>
        </w:tc>
        <w:tc>
          <w:tcPr>
            <w:tcW w:w="7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r>
      <w:tr>
        <w:trPr>
          <w:trHeight w:val="183"/>
        </w:trPr>
        <w:tc>
          <w:tcPr>
            <w:tcW w:w="15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Item 5.</w:t>
            </w:r>
          </w:p>
        </w:tc>
        <w:tc>
          <w:tcPr>
            <w:tcW w:w="8240" w:type="dxa"/>
            <w:vAlign w:val="bottom"/>
            <w:gridSpan w:val="19"/>
          </w:tcPr>
          <w:p>
            <w:pPr>
              <w:spacing w:after="0" w:line="183" w:lineRule="exact"/>
              <w:rPr>
                <w:rFonts w:ascii="Arial" w:cs="Arial" w:eastAsia="Arial" w:hAnsi="Arial"/>
                <w:sz w:val="17"/>
                <w:szCs w:val="17"/>
                <w:color w:val="0000FF"/>
                <w:w w:val="97"/>
              </w:rPr>
            </w:pPr>
            <w:hyperlink w:anchor="page43">
              <w:r>
                <w:rPr>
                  <w:rFonts w:ascii="Arial" w:cs="Arial" w:eastAsia="Arial" w:hAnsi="Arial"/>
                  <w:sz w:val="17"/>
                  <w:szCs w:val="17"/>
                  <w:color w:val="0000FF"/>
                  <w:w w:val="97"/>
                </w:rPr>
                <w:t>Market for Registrant's Common Equity, Related Stockholder Matters, and Issuer Purchases of Equity Securities</w:t>
              </w:r>
            </w:hyperlink>
          </w:p>
        </w:tc>
        <w:tc>
          <w:tcPr>
            <w:tcW w:w="1480" w:type="dxa"/>
            <w:vAlign w:val="bottom"/>
            <w:gridSpan w:val="3"/>
          </w:tcPr>
          <w:p>
            <w:pPr>
              <w:jc w:val="center"/>
              <w:spacing w:after="0" w:line="183" w:lineRule="exact"/>
              <w:rPr>
                <w:rFonts w:ascii="Arial" w:cs="Arial" w:eastAsia="Arial" w:hAnsi="Arial"/>
                <w:sz w:val="17"/>
                <w:szCs w:val="17"/>
                <w:color w:val="0000FF"/>
                <w:w w:val="84"/>
              </w:rPr>
            </w:pPr>
            <w:hyperlink w:anchor="page43">
              <w:r>
                <w:rPr>
                  <w:rFonts w:ascii="Arial" w:cs="Arial" w:eastAsia="Arial" w:hAnsi="Arial"/>
                  <w:sz w:val="17"/>
                  <w:szCs w:val="17"/>
                  <w:color w:val="0000FF"/>
                  <w:w w:val="84"/>
                </w:rPr>
                <w:t>43</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6.</w:t>
            </w:r>
          </w:p>
        </w:tc>
        <w:tc>
          <w:tcPr>
            <w:tcW w:w="7840" w:type="dxa"/>
            <w:vAlign w:val="bottom"/>
            <w:gridSpan w:val="18"/>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[Reserved]</w:t>
              </w:r>
            </w:hyperlink>
          </w:p>
        </w:tc>
        <w:tc>
          <w:tcPr>
            <w:tcW w:w="400" w:type="dxa"/>
            <w:vAlign w:val="bottom"/>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45">
              <w:r>
                <w:rPr>
                  <w:rFonts w:ascii="Arial" w:cs="Arial" w:eastAsia="Arial" w:hAnsi="Arial"/>
                  <w:sz w:val="17"/>
                  <w:szCs w:val="17"/>
                  <w:color w:val="0000FF"/>
                  <w:w w:val="84"/>
                </w:rPr>
                <w:t>44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7.</w:t>
            </w:r>
          </w:p>
        </w:tc>
        <w:tc>
          <w:tcPr>
            <w:tcW w:w="6240" w:type="dxa"/>
            <w:vAlign w:val="bottom"/>
            <w:gridSpan w:val="15"/>
          </w:tcPr>
          <w:p>
            <w:pPr>
              <w:spacing w:after="0"/>
              <w:rPr>
                <w:rFonts w:ascii="Arial" w:cs="Arial" w:eastAsia="Arial" w:hAnsi="Arial"/>
                <w:sz w:val="17"/>
                <w:szCs w:val="17"/>
                <w:color w:val="0000FF"/>
                <w:w w:val="93"/>
              </w:rPr>
            </w:pPr>
            <w:hyperlink w:anchor="page45">
              <w:r>
                <w:rPr>
                  <w:rFonts w:ascii="Arial" w:cs="Arial" w:eastAsia="Arial" w:hAnsi="Arial"/>
                  <w:sz w:val="17"/>
                  <w:szCs w:val="17"/>
                  <w:color w:val="0000FF"/>
                  <w:w w:val="93"/>
                </w:rPr>
                <w:t>Management's Discussion and Analysis of Financial Condition and Results of Operations</w:t>
              </w:r>
            </w:hyperlink>
          </w:p>
        </w:tc>
        <w:tc>
          <w:tcPr>
            <w:tcW w:w="2000" w:type="dxa"/>
            <w:vAlign w:val="bottom"/>
            <w:gridSpan w:val="4"/>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45">
              <w:r>
                <w:rPr>
                  <w:rFonts w:ascii="Arial" w:cs="Arial" w:eastAsia="Arial" w:hAnsi="Arial"/>
                  <w:sz w:val="17"/>
                  <w:szCs w:val="17"/>
                  <w:color w:val="0000FF"/>
                  <w:w w:val="84"/>
                </w:rPr>
                <w:t>44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7A.</w:t>
            </w:r>
          </w:p>
        </w:tc>
        <w:tc>
          <w:tcPr>
            <w:tcW w:w="6240" w:type="dxa"/>
            <w:vAlign w:val="bottom"/>
            <w:gridSpan w:val="15"/>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Quantitative and Qualitative Disclosures About Market Risk</w:t>
              </w:r>
            </w:hyperlink>
          </w:p>
        </w:tc>
        <w:tc>
          <w:tcPr>
            <w:tcW w:w="2000" w:type="dxa"/>
            <w:vAlign w:val="bottom"/>
            <w:gridSpan w:val="4"/>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58">
              <w:r>
                <w:rPr>
                  <w:rFonts w:ascii="Arial" w:cs="Arial" w:eastAsia="Arial" w:hAnsi="Arial"/>
                  <w:sz w:val="17"/>
                  <w:szCs w:val="17"/>
                  <w:color w:val="0000FF"/>
                  <w:w w:val="84"/>
                </w:rPr>
                <w:t>57</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8.</w:t>
            </w:r>
          </w:p>
        </w:tc>
        <w:tc>
          <w:tcPr>
            <w:tcW w:w="4220" w:type="dxa"/>
            <w:vAlign w:val="bottom"/>
            <w:gridSpan w:val="12"/>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Financial Statements and Supplementary Data</w:t>
              </w:r>
            </w:hyperlink>
          </w:p>
        </w:tc>
        <w:tc>
          <w:tcPr>
            <w:tcW w:w="4020" w:type="dxa"/>
            <w:vAlign w:val="bottom"/>
            <w:gridSpan w:val="7"/>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59">
              <w:r>
                <w:rPr>
                  <w:rFonts w:ascii="Arial" w:cs="Arial" w:eastAsia="Arial" w:hAnsi="Arial"/>
                  <w:sz w:val="17"/>
                  <w:szCs w:val="17"/>
                  <w:color w:val="0000FF"/>
                  <w:w w:val="84"/>
                </w:rPr>
                <w:t>59</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9.</w:t>
            </w:r>
          </w:p>
        </w:tc>
        <w:tc>
          <w:tcPr>
            <w:tcW w:w="6280" w:type="dxa"/>
            <w:vAlign w:val="bottom"/>
            <w:gridSpan w:val="16"/>
          </w:tcPr>
          <w:p>
            <w:pPr>
              <w:spacing w:after="0"/>
              <w:rPr>
                <w:rFonts w:ascii="Arial" w:cs="Arial" w:eastAsia="Arial" w:hAnsi="Arial"/>
                <w:sz w:val="17"/>
                <w:szCs w:val="17"/>
                <w:color w:val="0000FF"/>
                <w:w w:val="92"/>
              </w:rPr>
            </w:pPr>
            <w:hyperlink w:anchor="page94">
              <w:r>
                <w:rPr>
                  <w:rFonts w:ascii="Arial" w:cs="Arial" w:eastAsia="Arial" w:hAnsi="Arial"/>
                  <w:sz w:val="17"/>
                  <w:szCs w:val="17"/>
                  <w:color w:val="0000FF"/>
                  <w:w w:val="92"/>
                </w:rPr>
                <w:t>Changes in and Disagreements with Accountants on Accounting and Financial Disclosure</w:t>
              </w:r>
            </w:hyperlink>
          </w:p>
        </w:tc>
        <w:tc>
          <w:tcPr>
            <w:tcW w:w="1960" w:type="dxa"/>
            <w:vAlign w:val="bottom"/>
            <w:gridSpan w:val="3"/>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4">
              <w:r>
                <w:rPr>
                  <w:rFonts w:ascii="Arial" w:cs="Arial" w:eastAsia="Arial" w:hAnsi="Arial"/>
                  <w:sz w:val="17"/>
                  <w:szCs w:val="17"/>
                  <w:color w:val="0000FF"/>
                  <w:w w:val="84"/>
                </w:rPr>
                <w:t>93</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9A.</w:t>
            </w:r>
          </w:p>
        </w:tc>
        <w:tc>
          <w:tcPr>
            <w:tcW w:w="1720" w:type="dxa"/>
            <w:vAlign w:val="bottom"/>
            <w:gridSpan w:val="6"/>
          </w:tcPr>
          <w:p>
            <w:pPr>
              <w:spacing w:after="0"/>
              <w:rPr>
                <w:rFonts w:ascii="Arial" w:cs="Arial" w:eastAsia="Arial" w:hAnsi="Arial"/>
                <w:sz w:val="17"/>
                <w:szCs w:val="17"/>
                <w:color w:val="0000FF"/>
                <w:w w:val="90"/>
              </w:rPr>
            </w:pPr>
            <w:hyperlink w:anchor="page94">
              <w:r>
                <w:rPr>
                  <w:rFonts w:ascii="Arial" w:cs="Arial" w:eastAsia="Arial" w:hAnsi="Arial"/>
                  <w:sz w:val="17"/>
                  <w:szCs w:val="17"/>
                  <w:color w:val="0000FF"/>
                  <w:w w:val="90"/>
                </w:rPr>
                <w:t>Controls and Procedures</w:t>
              </w:r>
            </w:hyperlink>
          </w:p>
        </w:tc>
        <w:tc>
          <w:tcPr>
            <w:tcW w:w="4560" w:type="dxa"/>
            <w:vAlign w:val="bottom"/>
            <w:gridSpan w:val="10"/>
          </w:tcPr>
          <w:p>
            <w:pPr>
              <w:spacing w:after="0"/>
              <w:rPr>
                <w:sz w:val="17"/>
                <w:szCs w:val="17"/>
                <w:color w:val="auto"/>
              </w:rPr>
            </w:pPr>
          </w:p>
        </w:tc>
        <w:tc>
          <w:tcPr>
            <w:tcW w:w="1960" w:type="dxa"/>
            <w:vAlign w:val="bottom"/>
            <w:gridSpan w:val="3"/>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4">
              <w:r>
                <w:rPr>
                  <w:rFonts w:ascii="Arial" w:cs="Arial" w:eastAsia="Arial" w:hAnsi="Arial"/>
                  <w:sz w:val="17"/>
                  <w:szCs w:val="17"/>
                  <w:color w:val="0000FF"/>
                  <w:w w:val="84"/>
                </w:rPr>
                <w:t>93</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9B.</w:t>
            </w:r>
          </w:p>
        </w:tc>
        <w:tc>
          <w:tcPr>
            <w:tcW w:w="1280" w:type="dxa"/>
            <w:vAlign w:val="bottom"/>
            <w:gridSpan w:val="4"/>
          </w:tcPr>
          <w:p>
            <w:pPr>
              <w:spacing w:after="0"/>
              <w:rPr>
                <w:rFonts w:ascii="Arial" w:cs="Arial" w:eastAsia="Arial" w:hAnsi="Arial"/>
                <w:sz w:val="17"/>
                <w:szCs w:val="17"/>
                <w:color w:val="0000FF"/>
                <w:w w:val="93"/>
              </w:rPr>
            </w:pPr>
            <w:hyperlink w:anchor="page94">
              <w:r>
                <w:rPr>
                  <w:rFonts w:ascii="Arial" w:cs="Arial" w:eastAsia="Arial" w:hAnsi="Arial"/>
                  <w:sz w:val="17"/>
                  <w:szCs w:val="17"/>
                  <w:color w:val="0000FF"/>
                  <w:w w:val="93"/>
                </w:rPr>
                <w:t>Other Information</w:t>
              </w:r>
            </w:hyperlink>
          </w:p>
        </w:tc>
        <w:tc>
          <w:tcPr>
            <w:tcW w:w="440" w:type="dxa"/>
            <w:vAlign w:val="bottom"/>
            <w:gridSpan w:val="2"/>
          </w:tcPr>
          <w:p>
            <w:pPr>
              <w:spacing w:after="0"/>
              <w:rPr>
                <w:sz w:val="17"/>
                <w:szCs w:val="17"/>
                <w:color w:val="auto"/>
              </w:rPr>
            </w:pPr>
          </w:p>
        </w:tc>
        <w:tc>
          <w:tcPr>
            <w:tcW w:w="6520" w:type="dxa"/>
            <w:vAlign w:val="bottom"/>
            <w:gridSpan w:val="13"/>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4">
              <w:r>
                <w:rPr>
                  <w:rFonts w:ascii="Arial" w:cs="Arial" w:eastAsia="Arial" w:hAnsi="Arial"/>
                  <w:sz w:val="17"/>
                  <w:szCs w:val="17"/>
                  <w:color w:val="0000FF"/>
                  <w:w w:val="84"/>
                </w:rPr>
                <w:t>93</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2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9C.</w:t>
            </w:r>
          </w:p>
        </w:tc>
        <w:tc>
          <w:tcPr>
            <w:tcW w:w="8240" w:type="dxa"/>
            <w:vAlign w:val="bottom"/>
            <w:gridSpan w:val="19"/>
          </w:tcPr>
          <w:p>
            <w:pPr>
              <w:spacing w:after="0"/>
              <w:rPr>
                <w:rFonts w:ascii="Arial" w:cs="Arial" w:eastAsia="Arial" w:hAnsi="Arial"/>
                <w:sz w:val="17"/>
                <w:szCs w:val="17"/>
                <w:color w:val="0000FF"/>
              </w:rPr>
            </w:pPr>
            <w:hyperlink w:anchor="page94">
              <w:r>
                <w:rPr>
                  <w:rFonts w:ascii="Arial" w:cs="Arial" w:eastAsia="Arial" w:hAnsi="Arial"/>
                  <w:sz w:val="17"/>
                  <w:szCs w:val="17"/>
                  <w:color w:val="0000FF"/>
                </w:rPr>
                <w:t>Disclosure Regarding Foreign Jurisdictions That Prevent Inspections</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94">
              <w:r>
                <w:rPr>
                  <w:rFonts w:ascii="Arial" w:cs="Arial" w:eastAsia="Arial" w:hAnsi="Arial"/>
                  <w:sz w:val="17"/>
                  <w:szCs w:val="17"/>
                  <w:color w:val="0000FF"/>
                  <w:w w:val="84"/>
                </w:rPr>
                <w:t>93</w:t>
              </w:r>
            </w:hyperlink>
          </w:p>
        </w:tc>
      </w:tr>
      <w:tr>
        <w:trPr>
          <w:trHeight w:val="221"/>
        </w:trPr>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580" w:type="dxa"/>
            <w:vAlign w:val="bottom"/>
            <w:tcBorders>
              <w:top w:val="single" w:sz="8" w:color="0000FF"/>
            </w:tcBorders>
            <w:gridSpan w:val="3"/>
          </w:tcPr>
          <w:p>
            <w:pPr>
              <w:jc w:val="center"/>
              <w:ind w:left="113"/>
              <w:spacing w:after="0"/>
              <w:rPr>
                <w:sz w:val="20"/>
                <w:szCs w:val="20"/>
                <w:color w:val="auto"/>
              </w:rPr>
            </w:pPr>
            <w:r>
              <w:rPr>
                <w:rFonts w:ascii="Arial" w:cs="Arial" w:eastAsia="Arial" w:hAnsi="Arial"/>
                <w:sz w:val="17"/>
                <w:szCs w:val="17"/>
                <w:b w:val="1"/>
                <w:bCs w:val="1"/>
                <w:color w:val="auto"/>
              </w:rPr>
              <w:t>Part III</w:t>
            </w:r>
          </w:p>
        </w:tc>
        <w:tc>
          <w:tcPr>
            <w:tcW w:w="3440" w:type="dxa"/>
            <w:vAlign w:val="bottom"/>
            <w:gridSpan w:val="6"/>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00" w:type="dxa"/>
            <w:vAlign w:val="bottom"/>
          </w:tcPr>
          <w:p>
            <w:pPr>
              <w:spacing w:after="0"/>
              <w:rPr>
                <w:sz w:val="19"/>
                <w:szCs w:val="19"/>
                <w:color w:val="auto"/>
              </w:rPr>
            </w:pPr>
          </w:p>
        </w:tc>
      </w:tr>
      <w:tr>
        <w:trPr>
          <w:trHeight w:val="183"/>
        </w:trPr>
        <w:tc>
          <w:tcPr>
            <w:tcW w:w="15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Item 10.</w:t>
            </w:r>
          </w:p>
        </w:tc>
        <w:tc>
          <w:tcPr>
            <w:tcW w:w="5280" w:type="dxa"/>
            <w:vAlign w:val="bottom"/>
            <w:gridSpan w:val="14"/>
          </w:tcPr>
          <w:p>
            <w:pPr>
              <w:spacing w:after="0" w:line="183" w:lineRule="exact"/>
              <w:rPr>
                <w:rFonts w:ascii="Arial" w:cs="Arial" w:eastAsia="Arial" w:hAnsi="Arial"/>
                <w:sz w:val="17"/>
                <w:szCs w:val="17"/>
                <w:color w:val="0000FF"/>
              </w:rPr>
            </w:pPr>
            <w:hyperlink w:anchor="page95">
              <w:r>
                <w:rPr>
                  <w:rFonts w:ascii="Arial" w:cs="Arial" w:eastAsia="Arial" w:hAnsi="Arial"/>
                  <w:sz w:val="17"/>
                  <w:szCs w:val="17"/>
                  <w:color w:val="0000FF"/>
                </w:rPr>
                <w:t>Directors, Executive Officers and Corporate Governance</w:t>
              </w:r>
            </w:hyperlink>
          </w:p>
        </w:tc>
        <w:tc>
          <w:tcPr>
            <w:tcW w:w="2960" w:type="dxa"/>
            <w:vAlign w:val="bottom"/>
            <w:gridSpan w:val="5"/>
          </w:tcPr>
          <w:p>
            <w:pPr>
              <w:spacing w:after="0"/>
              <w:rPr>
                <w:sz w:val="15"/>
                <w:szCs w:val="15"/>
                <w:color w:val="auto"/>
              </w:rPr>
            </w:pPr>
          </w:p>
        </w:tc>
        <w:tc>
          <w:tcPr>
            <w:tcW w:w="1480" w:type="dxa"/>
            <w:vAlign w:val="bottom"/>
            <w:gridSpan w:val="3"/>
          </w:tcPr>
          <w:p>
            <w:pPr>
              <w:jc w:val="center"/>
              <w:spacing w:after="0" w:line="183" w:lineRule="exact"/>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11.</w:t>
            </w:r>
          </w:p>
        </w:tc>
        <w:tc>
          <w:tcPr>
            <w:tcW w:w="1760" w:type="dxa"/>
            <w:vAlign w:val="bottom"/>
            <w:gridSpan w:val="7"/>
          </w:tcPr>
          <w:p>
            <w:pPr>
              <w:spacing w:after="0"/>
              <w:rPr>
                <w:rFonts w:ascii="Arial" w:cs="Arial" w:eastAsia="Arial" w:hAnsi="Arial"/>
                <w:sz w:val="17"/>
                <w:szCs w:val="17"/>
                <w:color w:val="0000FF"/>
                <w:w w:val="92"/>
              </w:rPr>
            </w:pPr>
            <w:hyperlink w:anchor="page95">
              <w:r>
                <w:rPr>
                  <w:rFonts w:ascii="Arial" w:cs="Arial" w:eastAsia="Arial" w:hAnsi="Arial"/>
                  <w:sz w:val="17"/>
                  <w:szCs w:val="17"/>
                  <w:color w:val="0000FF"/>
                  <w:w w:val="92"/>
                </w:rPr>
                <w:t>Executive Compensation</w:t>
              </w:r>
            </w:hyperlink>
          </w:p>
        </w:tc>
        <w:tc>
          <w:tcPr>
            <w:tcW w:w="3520" w:type="dxa"/>
            <w:vAlign w:val="bottom"/>
            <w:gridSpan w:val="7"/>
          </w:tcPr>
          <w:p>
            <w:pPr>
              <w:spacing w:after="0"/>
              <w:rPr>
                <w:sz w:val="17"/>
                <w:szCs w:val="17"/>
                <w:color w:val="auto"/>
              </w:rPr>
            </w:pPr>
          </w:p>
        </w:tc>
        <w:tc>
          <w:tcPr>
            <w:tcW w:w="2960" w:type="dxa"/>
            <w:vAlign w:val="bottom"/>
            <w:gridSpan w:val="5"/>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12.</w:t>
            </w:r>
          </w:p>
        </w:tc>
        <w:tc>
          <w:tcPr>
            <w:tcW w:w="8240" w:type="dxa"/>
            <w:vAlign w:val="bottom"/>
            <w:gridSpan w:val="19"/>
          </w:tcPr>
          <w:p>
            <w:pPr>
              <w:spacing w:after="0"/>
              <w:rPr>
                <w:rFonts w:ascii="Arial" w:cs="Arial" w:eastAsia="Arial" w:hAnsi="Arial"/>
                <w:sz w:val="17"/>
                <w:szCs w:val="17"/>
                <w:color w:val="0000FF"/>
              </w:rPr>
            </w:pPr>
            <w:hyperlink w:anchor="page95">
              <w:r>
                <w:rPr>
                  <w:rFonts w:ascii="Arial" w:cs="Arial" w:eastAsia="Arial" w:hAnsi="Arial"/>
                  <w:sz w:val="17"/>
                  <w:szCs w:val="17"/>
                  <w:color w:val="0000FF"/>
                </w:rPr>
                <w:t>Security Ownership of Certain Beneficial Owners and Management and Related Stockholder Matters</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13.</w:t>
            </w:r>
          </w:p>
        </w:tc>
        <w:tc>
          <w:tcPr>
            <w:tcW w:w="8240" w:type="dxa"/>
            <w:vAlign w:val="bottom"/>
            <w:gridSpan w:val="19"/>
          </w:tcPr>
          <w:p>
            <w:pPr>
              <w:spacing w:after="0"/>
              <w:rPr>
                <w:rFonts w:ascii="Arial" w:cs="Arial" w:eastAsia="Arial" w:hAnsi="Arial"/>
                <w:sz w:val="17"/>
                <w:szCs w:val="17"/>
                <w:color w:val="0000FF"/>
              </w:rPr>
            </w:pPr>
            <w:hyperlink w:anchor="page95">
              <w:r>
                <w:rPr>
                  <w:rFonts w:ascii="Arial" w:cs="Arial" w:eastAsia="Arial" w:hAnsi="Arial"/>
                  <w:sz w:val="17"/>
                  <w:szCs w:val="17"/>
                  <w:color w:val="0000FF"/>
                </w:rPr>
                <w:t>Certain Relationships and Related Transactions, and Director Independence</w:t>
              </w:r>
            </w:hyperlink>
          </w:p>
        </w:tc>
        <w:tc>
          <w:tcPr>
            <w:tcW w:w="1480" w:type="dxa"/>
            <w:vAlign w:val="bottom"/>
            <w:gridSpan w:val="3"/>
          </w:tcPr>
          <w:p>
            <w:pPr>
              <w:jc w:val="center"/>
              <w:spacing w:after="0"/>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0"/>
        </w:trPr>
        <w:tc>
          <w:tcPr>
            <w:tcW w:w="15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14.</w:t>
            </w:r>
          </w:p>
        </w:tc>
        <w:tc>
          <w:tcPr>
            <w:tcW w:w="5280" w:type="dxa"/>
            <w:vAlign w:val="bottom"/>
            <w:gridSpan w:val="14"/>
          </w:tcPr>
          <w:p>
            <w:pPr>
              <w:spacing w:after="0"/>
              <w:rPr>
                <w:rFonts w:ascii="Arial" w:cs="Arial" w:eastAsia="Arial" w:hAnsi="Arial"/>
                <w:sz w:val="17"/>
                <w:szCs w:val="17"/>
                <w:color w:val="0000FF"/>
              </w:rPr>
            </w:pPr>
            <w:hyperlink w:anchor="page95">
              <w:r>
                <w:rPr>
                  <w:rFonts w:ascii="Arial" w:cs="Arial" w:eastAsia="Arial" w:hAnsi="Arial"/>
                  <w:sz w:val="17"/>
                  <w:szCs w:val="17"/>
                  <w:color w:val="0000FF"/>
                </w:rPr>
                <w:t>Principal Accountant Fees and Services</w:t>
              </w:r>
            </w:hyperlink>
          </w:p>
        </w:tc>
        <w:tc>
          <w:tcPr>
            <w:tcW w:w="2960" w:type="dxa"/>
            <w:vAlign w:val="bottom"/>
            <w:gridSpan w:val="5"/>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41"/>
        </w:trPr>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5020" w:type="dxa"/>
            <w:vAlign w:val="bottom"/>
            <w:gridSpan w:val="9"/>
          </w:tcPr>
          <w:p>
            <w:pPr>
              <w:jc w:val="center"/>
              <w:ind w:right="3240"/>
              <w:spacing w:after="0"/>
              <w:rPr>
                <w:sz w:val="20"/>
                <w:szCs w:val="20"/>
                <w:color w:val="auto"/>
              </w:rPr>
            </w:pPr>
            <w:r>
              <w:rPr>
                <w:rFonts w:ascii="Arial" w:cs="Arial" w:eastAsia="Arial" w:hAnsi="Arial"/>
                <w:sz w:val="17"/>
                <w:szCs w:val="17"/>
                <w:b w:val="1"/>
                <w:bCs w:val="1"/>
                <w:color w:val="auto"/>
              </w:rPr>
              <w:t>Part IV</w:t>
            </w:r>
          </w:p>
        </w:tc>
        <w:tc>
          <w:tcPr>
            <w:tcW w:w="7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r>
      <w:tr>
        <w:trPr>
          <w:trHeight w:val="183"/>
        </w:trPr>
        <w:tc>
          <w:tcPr>
            <w:tcW w:w="15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Item 15.</w:t>
            </w:r>
          </w:p>
        </w:tc>
        <w:tc>
          <w:tcPr>
            <w:tcW w:w="2820" w:type="dxa"/>
            <w:vAlign w:val="bottom"/>
            <w:gridSpan w:val="9"/>
          </w:tcPr>
          <w:p>
            <w:pPr>
              <w:spacing w:after="0" w:line="183" w:lineRule="exact"/>
              <w:rPr>
                <w:rFonts w:ascii="Arial" w:cs="Arial" w:eastAsia="Arial" w:hAnsi="Arial"/>
                <w:sz w:val="17"/>
                <w:szCs w:val="17"/>
                <w:color w:val="0000FF"/>
                <w:w w:val="91"/>
              </w:rPr>
            </w:pPr>
            <w:hyperlink w:anchor="page95">
              <w:r>
                <w:rPr>
                  <w:rFonts w:ascii="Arial" w:cs="Arial" w:eastAsia="Arial" w:hAnsi="Arial"/>
                  <w:sz w:val="17"/>
                  <w:szCs w:val="17"/>
                  <w:color w:val="0000FF"/>
                  <w:w w:val="91"/>
                </w:rPr>
                <w:t>Exhibits, Financial Statement Schedules</w:t>
              </w:r>
            </w:hyperlink>
          </w:p>
        </w:tc>
        <w:tc>
          <w:tcPr>
            <w:tcW w:w="5420" w:type="dxa"/>
            <w:vAlign w:val="bottom"/>
            <w:gridSpan w:val="10"/>
          </w:tcPr>
          <w:p>
            <w:pPr>
              <w:spacing w:after="0"/>
              <w:rPr>
                <w:sz w:val="15"/>
                <w:szCs w:val="15"/>
                <w:color w:val="auto"/>
              </w:rPr>
            </w:pPr>
          </w:p>
        </w:tc>
        <w:tc>
          <w:tcPr>
            <w:tcW w:w="1480" w:type="dxa"/>
            <w:vAlign w:val="bottom"/>
            <w:gridSpan w:val="3"/>
          </w:tcPr>
          <w:p>
            <w:pPr>
              <w:jc w:val="center"/>
              <w:spacing w:after="0" w:line="183" w:lineRule="exact"/>
              <w:rPr>
                <w:rFonts w:ascii="Arial" w:cs="Arial" w:eastAsia="Arial" w:hAnsi="Arial"/>
                <w:sz w:val="17"/>
                <w:szCs w:val="17"/>
                <w:color w:val="0000FF"/>
                <w:w w:val="84"/>
              </w:rPr>
            </w:pPr>
            <w:hyperlink w:anchor="page95">
              <w:r>
                <w:rPr>
                  <w:rFonts w:ascii="Arial" w:cs="Arial" w:eastAsia="Arial" w:hAnsi="Arial"/>
                  <w:sz w:val="17"/>
                  <w:szCs w:val="17"/>
                  <w:color w:val="0000FF"/>
                  <w:w w:val="84"/>
                </w:rPr>
                <w:t>94</w:t>
              </w:r>
            </w:hyperlink>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Item 16.</w:t>
            </w:r>
          </w:p>
        </w:tc>
        <w:tc>
          <w:tcPr>
            <w:tcW w:w="2820" w:type="dxa"/>
            <w:vAlign w:val="bottom"/>
            <w:gridSpan w:val="9"/>
          </w:tcPr>
          <w:p>
            <w:pPr>
              <w:spacing w:after="0"/>
              <w:rPr>
                <w:rFonts w:ascii="Arial" w:cs="Arial" w:eastAsia="Arial" w:hAnsi="Arial"/>
                <w:sz w:val="17"/>
                <w:szCs w:val="17"/>
                <w:color w:val="0000FF"/>
              </w:rPr>
            </w:pPr>
            <w:hyperlink w:anchor="page97">
              <w:r>
                <w:rPr>
                  <w:rFonts w:ascii="Arial" w:cs="Arial" w:eastAsia="Arial" w:hAnsi="Arial"/>
                  <w:sz w:val="17"/>
                  <w:szCs w:val="17"/>
                  <w:color w:val="0000FF"/>
                </w:rPr>
                <w:t>Form 10-K Summary</w:t>
              </w:r>
            </w:hyperlink>
          </w:p>
        </w:tc>
        <w:tc>
          <w:tcPr>
            <w:tcW w:w="5420" w:type="dxa"/>
            <w:vAlign w:val="bottom"/>
            <w:gridSpan w:val="10"/>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7">
              <w:r>
                <w:rPr>
                  <w:rFonts w:ascii="Arial" w:cs="Arial" w:eastAsia="Arial" w:hAnsi="Arial"/>
                  <w:sz w:val="17"/>
                  <w:szCs w:val="17"/>
                  <w:color w:val="0000FF"/>
                  <w:w w:val="84"/>
                </w:rPr>
                <w:t>96</w:t>
              </w:r>
            </w:hyperlink>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202"/>
        </w:trPr>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spacing w:after="0"/>
              <w:rPr>
                <w:rFonts w:ascii="Arial" w:cs="Arial" w:eastAsia="Arial" w:hAnsi="Arial"/>
                <w:sz w:val="17"/>
                <w:szCs w:val="17"/>
                <w:color w:val="0000FF"/>
                <w:w w:val="83"/>
              </w:rPr>
            </w:pPr>
            <w:hyperlink w:anchor="page98">
              <w:r>
                <w:rPr>
                  <w:rFonts w:ascii="Arial" w:cs="Arial" w:eastAsia="Arial" w:hAnsi="Arial"/>
                  <w:sz w:val="17"/>
                  <w:szCs w:val="17"/>
                  <w:color w:val="0000FF"/>
                  <w:w w:val="83"/>
                </w:rPr>
                <w:t>Signatures</w:t>
              </w:r>
            </w:hyperlink>
          </w:p>
        </w:tc>
        <w:tc>
          <w:tcPr>
            <w:tcW w:w="780" w:type="dxa"/>
            <w:vAlign w:val="bottom"/>
            <w:gridSpan w:val="3"/>
          </w:tcPr>
          <w:p>
            <w:pPr>
              <w:spacing w:after="0"/>
              <w:rPr>
                <w:sz w:val="17"/>
                <w:szCs w:val="17"/>
                <w:color w:val="auto"/>
              </w:rPr>
            </w:pPr>
          </w:p>
        </w:tc>
        <w:tc>
          <w:tcPr>
            <w:tcW w:w="6740" w:type="dxa"/>
            <w:vAlign w:val="bottom"/>
            <w:gridSpan w:val="14"/>
          </w:tcPr>
          <w:p>
            <w:pPr>
              <w:spacing w:after="0"/>
              <w:rPr>
                <w:sz w:val="17"/>
                <w:szCs w:val="17"/>
                <w:color w:val="auto"/>
              </w:rPr>
            </w:pPr>
          </w:p>
        </w:tc>
        <w:tc>
          <w:tcPr>
            <w:tcW w:w="1480" w:type="dxa"/>
            <w:vAlign w:val="bottom"/>
            <w:gridSpan w:val="3"/>
          </w:tcPr>
          <w:p>
            <w:pPr>
              <w:jc w:val="center"/>
              <w:spacing w:after="0"/>
              <w:rPr>
                <w:rFonts w:ascii="Arial" w:cs="Arial" w:eastAsia="Arial" w:hAnsi="Arial"/>
                <w:sz w:val="17"/>
                <w:szCs w:val="17"/>
                <w:color w:val="0000FF"/>
                <w:w w:val="84"/>
              </w:rPr>
            </w:pPr>
            <w:hyperlink w:anchor="page98">
              <w:r>
                <w:rPr>
                  <w:rFonts w:ascii="Arial" w:cs="Arial" w:eastAsia="Arial" w:hAnsi="Arial"/>
                  <w:sz w:val="17"/>
                  <w:szCs w:val="17"/>
                  <w:color w:val="0000FF"/>
                  <w:w w:val="84"/>
                </w:rPr>
                <w:t>97</w:t>
              </w:r>
            </w:hyperlink>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our product strategy; our efforts to enhance the security and privacy of our platform; the potential impacts of the COVID-19 pandemic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6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7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6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SUMMARY RISK FACTORS</w:t>
      </w:r>
    </w:p>
    <w:p>
      <w:pPr>
        <w:spacing w:after="0" w:line="124"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67" w:lineRule="exact"/>
        <w:rPr>
          <w:sz w:val="20"/>
          <w:szCs w:val="20"/>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3" w:lineRule="exact"/>
        <w:rPr>
          <w:rFonts w:ascii="Arial" w:cs="Arial" w:eastAsia="Arial" w:hAnsi="Arial"/>
          <w:sz w:val="17"/>
          <w:szCs w:val="17"/>
          <w:color w:val="auto"/>
        </w:rPr>
      </w:pPr>
    </w:p>
    <w:p>
      <w:pPr>
        <w:jc w:val="both"/>
        <w:ind w:left="640" w:hanging="322"/>
        <w:spacing w:after="0" w:line="267"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Beginning in the fiscal quarter ended April 30, 2020, we faced unprecedented usage of our communications platform largely due to the COVID-19 pandemic. While we continue to add paid users to our customer base, we expect our user growth rate to continue to slow or decline as the impact of the COVID-19 pandemic continues to taper, particularly as vaccines become widely available and distributed, and users return to work or school or are otherwise no longer subject to limitations on in-person meetings.</w:t>
      </w:r>
    </w:p>
    <w:p>
      <w:pPr>
        <w:spacing w:after="0" w:line="71"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revenue growth rate has begun to decline, and we expect our revenue growth rate to generally decline in future periods.</w:t>
      </w:r>
    </w:p>
    <w:p>
      <w:pPr>
        <w:spacing w:after="0" w:line="118" w:lineRule="exact"/>
        <w:rPr>
          <w:rFonts w:ascii="Arial" w:cs="Arial" w:eastAsia="Arial" w:hAnsi="Arial"/>
          <w:sz w:val="17"/>
          <w:szCs w:val="17"/>
          <w:color w:val="auto"/>
        </w:rPr>
      </w:pPr>
    </w:p>
    <w:p>
      <w:pPr>
        <w:ind w:left="640" w:hanging="322"/>
        <w:spacing w:after="0" w:line="321"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30" w:lineRule="exact"/>
        <w:rPr>
          <w:rFonts w:ascii="Arial" w:cs="Arial" w:eastAsia="Arial" w:hAnsi="Arial"/>
          <w:sz w:val="16"/>
          <w:szCs w:val="16"/>
          <w:color w:val="auto"/>
        </w:rPr>
      </w:pPr>
    </w:p>
    <w:p>
      <w:pPr>
        <w:jc w:val="both"/>
        <w:ind w:left="640" w:hanging="322"/>
        <w:spacing w:after="0" w:line="263"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and with the introduction of new technologies and market entrants, we expect competition to intensify in the future.</w:t>
      </w:r>
    </w:p>
    <w:p>
      <w:pPr>
        <w:spacing w:after="0" w:line="7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we increase sales to large organizations, our sales cycles could lengthen, and we could experience greater deployment challenges.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expect to increase our expenses in the future, which could decrease our profitability or prevent us from maintaining profitability.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respond to rapid technological changes, extend our platform or develop new features.</w:t>
      </w:r>
    </w:p>
    <w:p>
      <w:pPr>
        <w:spacing w:after="0" w:line="118" w:lineRule="exact"/>
        <w:rPr>
          <w:rFonts w:ascii="Arial" w:cs="Arial" w:eastAsia="Arial" w:hAnsi="Arial"/>
          <w:sz w:val="17"/>
          <w:szCs w:val="17"/>
          <w:color w:val="auto"/>
        </w:rPr>
      </w:pPr>
    </w:p>
    <w:p>
      <w:pPr>
        <w:jc w:val="both"/>
        <w:ind w:left="640" w:hanging="322"/>
        <w:spacing w:after="0" w:line="288"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57"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operating history at the current scale of our business, which makes it difficult to evaluate our prospects and future results of operations.</w:t>
      </w:r>
    </w:p>
    <w:p>
      <w:pPr>
        <w:spacing w:after="0" w:line="53"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were to lose the services of our Chief Executive Officer or other members of our senior management team, we may not be able to execute our business strategy.</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significant and expanding operations outside the United States, which may subject us to increased business, regulatory and economic risks that could harm our business.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subject to, or assist law enforcement with enforcement of, a variety of U.S. and international laws that could result in claims, increase the cost of operations, or otherwise harm our business due to changes in the laws,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the interpretations of the laws, greater enforcement of the laws, or investigations into compliance with the laws.</w:t>
      </w:r>
    </w:p>
    <w:p>
      <w:pPr>
        <w:spacing w:after="0" w:line="118" w:lineRule="exact"/>
        <w:rPr>
          <w:sz w:val="20"/>
          <w:szCs w:val="20"/>
          <w:color w:val="auto"/>
        </w:rPr>
      </w:pPr>
    </w:p>
    <w:p>
      <w:pPr>
        <w:jc w:val="both"/>
        <w:ind w:left="640" w:hanging="322"/>
        <w:spacing w:after="0" w:line="272"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67"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If we are unable to adequately address these and other risks we face, our business may be harmed.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mission is to make video communications frictionless and secure.</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Zoom enables users to connect to others, share ideas, make plans, and build toward a future limited only by their imagination. Our frictionless communications platform started with video as its foundation, and we have set the standard for innovation ever since. That is why Zoom is an intuitive, scalable, and secure choice for large enterprises, small businesses, and individuals alike. We connect people through our core unified communications offering, which frictionlessly brings together video, phone, chat, and webinars, and enables meaningful experiences across disparate devices and locations. Our Developer Platform enables customers, developers, and service providers to easily build apps and integrations on top of Zoom’s industry-leading video communications platform, with opportunities for global discovery and distribution. Our virtual and hybrid event solutions allow users to seamlessly create and manage engaging events.</w:t>
      </w:r>
    </w:p>
    <w:p>
      <w:pPr>
        <w:spacing w:after="0" w:line="8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cloud-native platform delivers reliable, high-quality video and voice solutions that are easy to use, manage, and deploy; provides an attractive return on investment; and is scalable and easily integrates with physical spaces and applications. As businesses around the world navigate a period of significant work transformation, Zoom’s ability to enable meaningful connections whether teams are in the office, at home, on-the-go, or in other locations such as a retail or manufacturing setting, is a critical differentiator. We believe that rich and reliable communications lead to interactions that build greater empathy and trust. We strive to live up to the trust our customers place in us by delivering a communications solution that is secure, reliable, and “just works.”</w:t>
      </w:r>
    </w:p>
    <w:p>
      <w:pPr>
        <w:spacing w:after="0" w:line="6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A cornerstone of our platform is Zoom Meetings, around which we provide a full suite of products and features designed to give users an easy, reliable, and innovative unified communications experience. Users comprise both hosts, who organize video meetings, and individual attendees, who participate in those video meetings. In 2019, we launched Zoom Phone, a cloud-based PBX system, creating a unique unified communications platform. Many customers also choose to implement Zoom Rooms, our software-based conference room system, which enables users to easily experience Zoom Meetings in their physical meeting spaces. In February 2022, we announced Zoom Contact Center, an omnichannel contact center solution that is optimized for video and integrated right into the same Zoom experience.</w:t>
      </w:r>
    </w:p>
    <w:p>
      <w:pPr>
        <w:spacing w:after="0" w:line="74"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happiness we bring is recognized by customers. Zoom has consistently high scores across customer review sites, including Gartner Peer Insights, TrustRadius, and G2 Crowd, including being recognized as a 2021 Gartner Peer Insights Customers’ Choice for Meeting Solutions and a TrustRadius Top Rated Web Conferencing Software. Industry analysts also recognize our market leadership: Gartner has named Zoom a leader in its Magic Quadrant for Meeting Solutions for the sixth consecutive year, and a leader in the Magic Quadrant for UCaaS for a second year. Frost &amp; Sullivan recognized Zoom with its 2021 Global Webinars and Virtual Events Market Leadership Award. In 2021, we were also recognized as a leader in IDC’s MarketScapes for UCaaS Service Providers (Small- and Medium-sized Businesses and Worldwide Enterprise) and for Worldwide Unified Communications and Collaboration, by Omdia Universe for Collaborative Meeting Services, and by Aragon Research Globes for Unified Communications and Collaboration and Video Conferencing. We also received Aragon’s Innovation Award for Video Conferencing in both 2020 and 2021. Zoom was also named to Fortune’s 2021 Future 50 list, which recognized innovative companies with high-growth potential who are creating meaningful value for their customers.</w:t>
      </w:r>
    </w:p>
    <w:p>
      <w:pPr>
        <w:spacing w:after="0" w:line="6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the simplicity and reliability of our platform – it “gets out of the way” so they can focus on what they need to get done together.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focus on the following elements of our strategy to drive our growth:</w:t>
      </w:r>
    </w:p>
    <w:p>
      <w:pPr>
        <w:spacing w:after="0" w:line="112" w:lineRule="exact"/>
        <w:rPr>
          <w:sz w:val="20"/>
          <w:szCs w:val="20"/>
          <w:color w:val="auto"/>
        </w:rPr>
      </w:pPr>
    </w:p>
    <w:p>
      <w:pPr>
        <w:jc w:val="both"/>
        <w:ind w:left="1100" w:hanging="625"/>
        <w:spacing w:after="0" w:line="300" w:lineRule="auto"/>
        <w:tabs>
          <w:tab w:leader="none" w:pos="109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Keep our existing customers happy. </w:t>
      </w:r>
      <w:r>
        <w:rPr>
          <w:rFonts w:ascii="Arial" w:cs="Arial" w:eastAsia="Arial" w:hAnsi="Arial"/>
          <w:sz w:val="16"/>
          <w:szCs w:val="16"/>
          <w:color w:val="auto"/>
        </w:rPr>
        <w:t>We provide happiness to our customers by giving them an experience that delights them. We respond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spacing w:after="0" w:line="41" w:lineRule="exact"/>
        <w:rPr>
          <w:rFonts w:ascii="Arial" w:cs="Arial" w:eastAsia="Arial" w:hAnsi="Arial"/>
          <w:sz w:val="16"/>
          <w:szCs w:val="16"/>
          <w:color w:val="auto"/>
        </w:rPr>
      </w:pPr>
    </w:p>
    <w:p>
      <w:pPr>
        <w:ind w:left="1100" w:hanging="625"/>
        <w:spacing w:after="0" w:line="295" w:lineRule="auto"/>
        <w:tabs>
          <w:tab w:leader="none" w:pos="109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 we</w:t>
      </w:r>
      <w:r>
        <w:rPr>
          <w:rFonts w:ascii="Arial" w:cs="Arial" w:eastAsia="Arial" w:hAnsi="Arial"/>
          <w:sz w:val="17"/>
          <w:szCs w:val="17"/>
          <w:b w:val="1"/>
          <w:bCs w:val="1"/>
          <w:color w:val="auto"/>
        </w:rPr>
        <w:t xml:space="preserve"> </w:t>
      </w:r>
      <w:r>
        <w:rPr>
          <w:rFonts w:ascii="Arial" w:cs="Arial" w:eastAsia="Arial" w:hAnsi="Arial"/>
          <w:sz w:val="17"/>
          <w:szCs w:val="17"/>
          <w:color w:val="auto"/>
        </w:rPr>
        <w:t>promote usage that allows hosts and their meeting attendees to experience the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100"/>
        <w:spacing w:after="0" w:line="297" w:lineRule="auto"/>
        <w:rPr>
          <w:sz w:val="20"/>
          <w:szCs w:val="20"/>
          <w:color w:val="auto"/>
        </w:rPr>
      </w:pPr>
      <w:r>
        <w:rPr>
          <w:rFonts w:ascii="Arial" w:cs="Arial" w:eastAsia="Arial" w:hAnsi="Arial"/>
          <w:sz w:val="16"/>
          <w:szCs w:val="16"/>
          <w:color w:val="auto"/>
        </w:rPr>
        <w:t>Zoom difference.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43" w:lineRule="exact"/>
        <w:rPr>
          <w:sz w:val="20"/>
          <w:szCs w:val="20"/>
          <w:color w:val="auto"/>
        </w:rPr>
      </w:pPr>
    </w:p>
    <w:p>
      <w:pPr>
        <w:jc w:val="both"/>
        <w:ind w:left="1100" w:hanging="625"/>
        <w:spacing w:after="0" w:line="269" w:lineRule="auto"/>
        <w:tabs>
          <w:tab w:leader="none" w:pos="109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Expand within existing customers. </w:t>
      </w:r>
      <w:r>
        <w:rPr>
          <w:rFonts w:ascii="Arial" w:cs="Arial" w:eastAsia="Arial" w:hAnsi="Arial"/>
          <w:sz w:val="17"/>
          <w:szCs w:val="17"/>
          <w:color w:val="auto"/>
        </w:rPr>
        <w:t>As organizations experience our platform and become familiar with its benefits, more teams and</w:t>
      </w:r>
      <w:r>
        <w:rPr>
          <w:rFonts w:ascii="Arial" w:cs="Arial" w:eastAsia="Arial" w:hAnsi="Arial"/>
          <w:sz w:val="17"/>
          <w:szCs w:val="17"/>
          <w:b w:val="1"/>
          <w:bCs w:val="1"/>
          <w:color w:val="auto"/>
        </w:rPr>
        <w:t xml:space="preserve"> </w:t>
      </w:r>
      <w:r>
        <w:rPr>
          <w:rFonts w:ascii="Arial" w:cs="Arial" w:eastAsia="Arial" w:hAnsi="Arial"/>
          <w:sz w:val="17"/>
          <w:szCs w:val="17"/>
          <w:color w:val="auto"/>
        </w:rPr>
        <w:t>departments within these organizations adopt Zoom. Our platform may begin in a line of business and then organically expand across departments. This “land and expand” model has led to some of our largest deployments. Customers are also purchasing services for webinars, room solutions, and phone for the full Zoom Unified Communications as a Service (“UCaaS”) experience.</w:t>
      </w:r>
    </w:p>
    <w:p>
      <w:pPr>
        <w:spacing w:after="0" w:line="64" w:lineRule="exact"/>
        <w:rPr>
          <w:rFonts w:ascii="Arial" w:cs="Arial" w:eastAsia="Arial" w:hAnsi="Arial"/>
          <w:sz w:val="17"/>
          <w:szCs w:val="17"/>
          <w:color w:val="auto"/>
        </w:rPr>
      </w:pPr>
    </w:p>
    <w:p>
      <w:pPr>
        <w:jc w:val="both"/>
        <w:ind w:left="1100" w:hanging="625"/>
        <w:spacing w:after="0" w:line="276" w:lineRule="auto"/>
        <w:tabs>
          <w:tab w:leader="none" w:pos="109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Innovate our platform continuously. </w:t>
      </w:r>
      <w:r>
        <w:rPr>
          <w:rFonts w:ascii="Arial" w:cs="Arial" w:eastAsia="Arial" w:hAnsi="Arial"/>
          <w:sz w:val="17"/>
          <w:szCs w:val="17"/>
          <w:color w:val="auto"/>
        </w:rPr>
        <w:t>Our engineers aim to stay on the cutting edge of communication and collaboration technologies. We strive</w:t>
      </w:r>
      <w:r>
        <w:rPr>
          <w:rFonts w:ascii="Arial" w:cs="Arial" w:eastAsia="Arial" w:hAnsi="Arial"/>
          <w:sz w:val="17"/>
          <w:szCs w:val="17"/>
          <w:b w:val="1"/>
          <w:bCs w:val="1"/>
          <w:color w:val="auto"/>
        </w:rPr>
        <w:t xml:space="preserve"> </w:t>
      </w:r>
      <w:r>
        <w:rPr>
          <w:rFonts w:ascii="Arial" w:cs="Arial" w:eastAsia="Arial" w:hAnsi="Arial"/>
          <w:sz w:val="17"/>
          <w:szCs w:val="17"/>
          <w:color w:val="auto"/>
        </w:rPr>
        <w:t>to deliver the best experience to our users by dedicating a portion of engineering capacity to developing on-demand, customer-requested features that would be valuable across our customer base.</w:t>
      </w:r>
    </w:p>
    <w:p>
      <w:pPr>
        <w:spacing w:after="0" w:line="57" w:lineRule="exact"/>
        <w:rPr>
          <w:rFonts w:ascii="Arial" w:cs="Arial" w:eastAsia="Arial" w:hAnsi="Arial"/>
          <w:sz w:val="17"/>
          <w:szCs w:val="17"/>
          <w:color w:val="auto"/>
        </w:rPr>
      </w:pPr>
    </w:p>
    <w:p>
      <w:pPr>
        <w:jc w:val="both"/>
        <w:ind w:left="1100" w:hanging="625"/>
        <w:spacing w:after="0" w:line="300" w:lineRule="auto"/>
        <w:tabs>
          <w:tab w:leader="none" w:pos="109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 new</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41" w:lineRule="exact"/>
        <w:rPr>
          <w:rFonts w:ascii="Arial" w:cs="Arial" w:eastAsia="Arial" w:hAnsi="Arial"/>
          <w:sz w:val="16"/>
          <w:szCs w:val="16"/>
          <w:color w:val="auto"/>
        </w:rPr>
      </w:pPr>
    </w:p>
    <w:p>
      <w:pPr>
        <w:jc w:val="both"/>
        <w:ind w:left="1100" w:hanging="625"/>
        <w:spacing w:after="0" w:line="264" w:lineRule="auto"/>
        <w:tabs>
          <w:tab w:leader="none" w:pos="109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Grow our partnership ecosystem and continue to expand our platform. </w:t>
      </w:r>
      <w:r>
        <w:rPr>
          <w:rFonts w:ascii="Arial" w:cs="Arial" w:eastAsia="Arial" w:hAnsi="Arial"/>
          <w:sz w:val="17"/>
          <w:szCs w:val="17"/>
          <w:color w:val="auto"/>
        </w:rPr>
        <w:t>Our platform integrates easily with other systems and tools. We</w:t>
      </w:r>
      <w:r>
        <w:rPr>
          <w:rFonts w:ascii="Arial" w:cs="Arial" w:eastAsia="Arial" w:hAnsi="Arial"/>
          <w:sz w:val="17"/>
          <w:szCs w:val="17"/>
          <w:b w:val="1"/>
          <w:bCs w:val="1"/>
          <w:color w:val="auto"/>
        </w:rPr>
        <w:t xml:space="preserve"> </w:t>
      </w:r>
      <w:r>
        <w:rPr>
          <w:rFonts w:ascii="Arial" w:cs="Arial" w:eastAsia="Arial" w:hAnsi="Arial"/>
          <w:sz w:val="17"/>
          <w:szCs w:val="17"/>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Third-party developers are able to engage with the Zoom App Marketplace and Zoom Developer Platform to extend the value and adoption of Zoom with our customers through the development of public and private apps and integrations.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provide a unified communications platform that delivers happiness and fundamentally changes how people interact, connecting them through frictionless and secure video, phone, chat, and content sharing. Our core products include Zoom Meetings, Zoom Phone, Zoom Chat, Zoom Rooms, Zoom Hardware-as-a-Service, Zoom Conference Room Connector, Zoom Events, Zoom Webinar, Zoom Developer Platform, Zoom App Marketplace, and Zoom Contact Center.</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Meetings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Zoom Meetings provide HD video, voice, chat, and content sharing across mobile devices, desktops, laptops, telephones, and conference room systems. Our architecture can support up to 1,000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Dropbox, Google, LinkedIn, Microsoft, Salesforce, and Slack. Our meetings are a flexible tool for on-the-go employees who rely on their mobile device or tablet throughout their business day.</w:t>
      </w:r>
    </w:p>
    <w:p>
      <w:pPr>
        <w:spacing w:after="0" w:line="7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An end-to-end encryption (“E2EE”) option is available to free and paid Zoom customers globally who host meetings with up to 200 participants. Zoom’s E2EE uses the same 256-bit AES GCM encryption that secures Zoom meetings by default, but with Zoom’s E2EE, the meeting host generates encryption keys and uses public key cryptography to distribute these keys to the other meeting participants.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Phone</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Zoom Phone is an enterprise cloud phone system that provides powerful private branch exchange (“PBX”) features, such as secure call routing, call queuing, call detail reports, call recording, call quality monitoring, voicemail, switch to video, and much more. Available stand-alone, or as an optional add-on to Zoom Meetings, Zoom Phone is a core component of our modern UCaaS strategy that enables customers to replace their existing PBX solution and consolidate all of their business communications and collaboration requirements onto Zoom.</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Zoom Phone provides inbound and outbound calling via its support for native connectivity to the public switched telephone network (“PSTN”). In the fiscal year ended January 31, 2022, Zoom Phone provided native PSTN connectivity in more than 45 countries and territories.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Zoom Phone also supports Premise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Chat</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Zoom Chat, which is included in the Zoom client for meeting and phone customers, enables organizations and teams to communicate and collaborate in groups, channels, or 1-1s and to stay connected by instantly sharing messages, images, audio files, and other content across desktop, laptop, tablet, and mobile devices. With Zoom Chat, users can easily invite people outside their organization to a chat conversation, and users can quickly switch from a chat to a phone call or video meeting during a conversation. Zoom Chat also features content storage for users who want discoverability and the ability to review their conversations or shared files. There are dozens of Zoom Chat compatible applications available in the Zoom App Marketplace that provide notifications and improved workflow for other enterprise systems.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Rooms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Zoom Rooms is our software-based conference room system that transforms every room – from executive offices, huddle rooms, training rooms, to broadcast studios – into a collaboration space that is easy to use, simple to deploy, and low-effort to manage. Designed to increase workforce collaboration across in-room and virtual participants, Zoom Rooms bring one-click to join meetings, wireless multi-sharing, interactive whiteboarding, and intuitive room controls for a frictionless and secure Zoom Meeting experience. Zoom Rooms can leverage purpose-built hardware, such as Zoom Rooms Appliances, for a turnkey deployment, or users can customize room builds with Zoom’s open hardware ecosystem and professional audio/visual equipment, enabling organizations to build video-enabled spaces for any use case.</w:t>
      </w:r>
    </w:p>
    <w:p>
      <w:pPr>
        <w:spacing w:after="0" w:line="7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Zoom Rooms Scheduling Display </w:t>
      </w:r>
      <w:r>
        <w:rPr>
          <w:rFonts w:ascii="Arial" w:cs="Arial" w:eastAsia="Arial" w:hAnsi="Arial"/>
          <w:sz w:val="17"/>
          <w:szCs w:val="17"/>
          <w:color w:val="auto"/>
        </w:rPr>
        <w:t>helps meet the needs of the agile office by delivering simple, on-the-fly room booking and room utilization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calendaring system. With a single Zoom Rooms license, customers get unlimited access to this service, requiring only an iOS or Android touch display outside their rooms.</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i w:val="1"/>
          <w:iCs w:val="1"/>
          <w:color w:val="auto"/>
        </w:rPr>
        <w:t xml:space="preserve">Zoom Rooms Digital Signage </w:t>
      </w:r>
      <w:r>
        <w:rPr>
          <w:rFonts w:ascii="Arial" w:cs="Arial" w:eastAsia="Arial" w:hAnsi="Arial"/>
          <w:sz w:val="17"/>
          <w:szCs w:val="17"/>
          <w:color w:val="auto"/>
        </w:rPr>
        <w:t>leverages displays, in and out of conference rooms, to project image, video, and URL content playlists. Included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Zoom Rooms, role-based admins can easily manage unlimited Digital Signage content and displays through the Zoom Admin Portal and remotely control the content displayed across screens for corporate communications, internal marketing, branding, and more.</w:t>
      </w:r>
    </w:p>
    <w:p>
      <w:pPr>
        <w:spacing w:after="0" w:line="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i w:val="1"/>
          <w:iCs w:val="1"/>
          <w:color w:val="auto"/>
        </w:rPr>
        <w:t xml:space="preserve">Zoom for Home </w:t>
      </w:r>
      <w:r>
        <w:rPr>
          <w:rFonts w:ascii="Arial" w:cs="Arial" w:eastAsia="Arial" w:hAnsi="Arial"/>
          <w:sz w:val="17"/>
          <w:szCs w:val="17"/>
          <w:color w:val="auto"/>
        </w:rPr>
        <w:t>is a personal home office solution designed to help remote workers connect and be more productive. The leading providers of Zoom for</w:t>
      </w:r>
      <w:r>
        <w:rPr>
          <w:rFonts w:ascii="Arial" w:cs="Arial" w:eastAsia="Arial" w:hAnsi="Arial"/>
          <w:sz w:val="17"/>
          <w:szCs w:val="17"/>
          <w:i w:val="1"/>
          <w:iCs w:val="1"/>
          <w:color w:val="auto"/>
        </w:rPr>
        <w:t xml:space="preserve"> </w:t>
      </w:r>
      <w:r>
        <w:rPr>
          <w:rFonts w:ascii="Arial" w:cs="Arial" w:eastAsia="Arial" w:hAnsi="Arial"/>
          <w:sz w:val="17"/>
          <w:szCs w:val="17"/>
          <w:color w:val="auto"/>
        </w:rPr>
        <w:t>Home compatible devices include Amazon, DTEN, Facebook, Google, Neat, Poly, and others.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Hardware-as-a-Service</w:t>
      </w:r>
    </w:p>
    <w:p>
      <w:pPr>
        <w:spacing w:after="0" w:line="11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Zoom Hardware-as-a-Service offering allows customers to access the latest and greatest video communication technology from third party equipment providers. Customers can deploy a world-class communications experience with a variety of subscription options for phone and meeting room hardware. Customers can also scale video conference rooms and phones with hardware options and hardware refreshes at an affordable, fixed monthly price.</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Conference Room Connector</w:t>
      </w:r>
    </w:p>
    <w:p>
      <w:pPr>
        <w:spacing w:after="0" w:line="118"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Zoom Conference Room Connector is a gateway for SIP/H.323 endpoints to join Zoom meetings. For organizations that use SIP/H.323 conference room systems from providers, such as Poly and Cisco, Zoom’s Conference Room Connector can take these traditional hardware video conferencing systems to the cloud, allowing users to leverage their existing investments while taking advantage of the Zoom platform. As organizations transition from legacy hardware-based conference rooms to software-based Zoom Rooms, IT administrators save cost on layers of service, maintenance, and support contracts and bridge their endpoints with Zoom Conference Room Connector. With the cost-savings, organizations can reinvest in video-enabling more rooms and continue to leverage their existing SIP/H.323 endpoints with a consistent, cloud-based experience across all their rooms.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Events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Zoom Events provides businesses with a virtual event management solution powered by the Zoom platform. Zoom Events enables users to manage and host all types of internal and external virtual events, from small interactive sessions to multi-day and multi-track events like conferences or consumer events. This includes the ability to create a “hub” where all of a business’ events can be listed with corresponding information about each experience. It also enables event hosts to provide ticketing and registration for attendees, and the ability to track these activities.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OnZoom is a prosumer-focused virtual event platform and marketplace for Zoom users to create, host, and monetize online events. OnZoom is an extension of Zoom’s unified communications platform with robust monetization (ticketing and fundraising) and simpler event management capabilities. OnZoom is currently offered as a public beta for United States (“U.S.”) users to host and attend online events.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Webinars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Zoom Webinars support interactive video presentations to large audiences from almost anywhere in the world and from many devices. Zoom Webinars scale up to 50,000 people, including up to 100 interactive video panelists. With webinars, hosts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Developer Platform and Zoom App Marketplace</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Zoom Developer Platform enables developers, platform integrators, service providers, and customers to easily build apps and integrations that use Zoom’s video-based communications solutions across video, phone, chat, or integrate 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comprehensive usage metrics. With our SDKs, APIs, webhooks and extensive developer resources, Zoom, third-party developers, and partners build applications that integrate our platform with other globally in-demand applications, platforms, websites, and services. Our customers also have access to tools and resources to develop private applications that integrate Zoom and Zoom technology into their workflows and systems.</w:t>
      </w:r>
    </w:p>
    <w:p>
      <w:pPr>
        <w:spacing w:after="0" w:line="8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App Marketplace brings together integrations built by Zoom and third-party developers, making it easy for developers to publish their apps and for customers to enhance their Zoom experience with new functionalities. The App Marketplace features third-party integrations of Zoom into best of breed apps, Zoom Apps (third-party apps integrated into the Zoom experience) and SDK apps (apps built by ISV program partners using our Meeting SDK). Key integrations include Google Workspace, Calendly, Slack, Microsoft Teams, Salesforce, Otter.ai, Hubspot, Asana, Kahoot! and Miro.</w:t>
      </w:r>
    </w:p>
    <w:p>
      <w:pPr>
        <w:spacing w:after="0" w:line="58"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Zoom Apps combine users' favorite apps with the power of video communications by allowing users to access them directly in Zoom Meetings. Users can enrich their Zoom experience with a variety of apps that cover many use cases — including whiteboarding, project management, note-taking, gaming, and more.</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Zoom Contact Center</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February 2022, we introduced Zoom Contact Center which combines contact center functionality with our Zoom unified communications solutions.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Zoom Contact Center is currently available in the U.S. and Canada with additional international availability planned for later this year.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and Infrastructure</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75"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have customers of all sizes, from individuals to global Fortune 50 organizations. Our current customer base spans numerous industry categories, including education, entertainment/media, enterprise infrastructure, finance, government, health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care, manufacturing, nonprofit/not for profit and social impact, retail/consumer products, and software/internet. No individual customer represented more than 10% of our total revenue in the fiscal year ended January 31, 2022.</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sales model combines our viral demand generation and our free Zoom Meetings plan with a sales approach optimized for the size of each customer opportunity. Our direct sales force includes our field sales representatives as well as our inside sales team, and it is organized by customer employee count, region, and vertical. Our channel team coordinates the activities of resellers and strategic partners to build a strong ecosystem that broadens our reach. Our online channel supports high-volume, high-velocity, self-service sales.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marketing team’s primary objective is to create preference for our brand by leveraging our viral growth, enhancing brand perception, and engaging our users with virtual events, content, social media, and customer advisory councils. We complement our viral growth with targeted online and out-of-home advertising. We shifted our events strategy from in-person to online during the pandemic, including hosting Zoomtopia, our annual user conference, virtually to tens of thousands of attendees.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4"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We drive our business with constant innovation. We have research and development presence in the United States, India, Singapore, and China, which we believe is a strategic advantage for us, allowing us to invest more in increasing our product capabilities in an efficient manner with a “follow the sun” strategy.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markets in which we operate are highly competitive. We face competition from legacy web-based meeting services providers, including Cisco Webex and GoTo, bundled productivity solution providers with video functionality, including Google Workspace and Microsoft Teams, and UCaaS and legacy PBX providers, including 8x8, Avaya, and RingCentral, as well as consumer-facing platforms that can support small- or medium-sized businesses, including Amazon, Apple, and Facebook. Additionally, as we build out Zoom Contact Center, we may face additional competition, including from Five9, Inc., Genesys and NICE inContact.</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we compete favorably based on the following competitive factors:</w:t>
      </w:r>
    </w:p>
    <w:p>
      <w:pPr>
        <w:spacing w:after="0" w:line="118" w:lineRule="exact"/>
        <w:rPr>
          <w:sz w:val="20"/>
          <w:szCs w:val="20"/>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video-first platform;</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cloud-native architecture;</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functionality and scalability;</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ease of use and reliability;</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brand awareness and preference;</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ability to utilize existing infrastructure, such as legacy conference room hardware; and</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low total cost of ownership.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rely on a combination of patents, trademarks, copyrights, and trade secrets, as well as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license, 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other intellectual property right. For information on the risks associated with our intellectual property, see “Item 1A - 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“Item 1A - Risk Factors.”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January 31, 2022, we had 6,787 full-time employees. Of these employees, 4,009 are in the United States and 2,778 are in our international locations. None of our U.S. employees are represented by a labor union. Employees in one of our non-U.S. subsidiaries have the benefit of a collective bargaining agreement and are represented by a workers’ council. We have not experienced interruptions of operations or any work stoppages due to labor disagreements.</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Our Culture of Happiness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culture of delivering happiness drives our mission, vision, and values and is fundamental to everything we do at Zoom:</w:t>
      </w:r>
    </w:p>
    <w:p>
      <w:pPr>
        <w:spacing w:after="0" w:line="112" w:lineRule="exact"/>
        <w:rPr>
          <w:sz w:val="20"/>
          <w:szCs w:val="20"/>
          <w:color w:val="auto"/>
        </w:rPr>
      </w:pPr>
    </w:p>
    <w:p>
      <w:pPr>
        <w:ind w:left="1100" w:hanging="625"/>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Mission. </w:t>
      </w:r>
      <w:r>
        <w:rPr>
          <w:rFonts w:ascii="Arial" w:cs="Arial" w:eastAsia="Arial" w:hAnsi="Arial"/>
          <w:sz w:val="17"/>
          <w:szCs w:val="17"/>
          <w:color w:val="auto"/>
        </w:rPr>
        <w:t>Our mission is to make video communications frictionless and secure.</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Vision. </w:t>
      </w:r>
      <w:r>
        <w:rPr>
          <w:rFonts w:ascii="Arial" w:cs="Arial" w:eastAsia="Arial" w:hAnsi="Arial"/>
          <w:sz w:val="17"/>
          <w:szCs w:val="17"/>
          <w:color w:val="auto"/>
        </w:rPr>
        <w:t>Our vision is to empower people to accomplish more through video communications.</w:t>
      </w:r>
    </w:p>
    <w:p>
      <w:pPr>
        <w:spacing w:after="0" w:line="118" w:lineRule="exact"/>
        <w:rPr>
          <w:rFonts w:ascii="Arial" w:cs="Arial" w:eastAsia="Arial" w:hAnsi="Arial"/>
          <w:sz w:val="17"/>
          <w:szCs w:val="17"/>
          <w:color w:val="auto"/>
        </w:rPr>
      </w:pPr>
    </w:p>
    <w:p>
      <w:pPr>
        <w:ind w:left="1100" w:hanging="625"/>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Values. </w:t>
      </w:r>
      <w:r>
        <w:rPr>
          <w:rFonts w:ascii="Arial" w:cs="Arial" w:eastAsia="Arial" w:hAnsi="Arial"/>
          <w:sz w:val="17"/>
          <w:szCs w:val="17"/>
          <w:color w:val="auto"/>
        </w:rPr>
        <w:t>We care for our community, our customers, our company, our teammates, and ourselves.</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This culture supports our hiring and serves as a competitive advantage in attracting and retaining top talent. Comparably recognized Zoom for numerous culture awards in 2021 including Best Company Happiness and Best CEO. Our employees also named Zoom among the winners of Glassdoor’s Employees’ Choice Awards honoring the Best Places to Work in 2021.</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Diversity, Equity, and Inclusion</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Diversity, equity, and inclusion (“DEI”) at Zoom is an embodiment of our core value of Care. DEI also represents our intentional effort to create an inclusive environment of the brightest minds from a broad set of backgrounds in order to create the most innovative solutions for our customers. Our approach to DEI is driven across four strategic focus areas: workforce (who and how we hire), workplace (how it feels to work at Zoom), marketplace (how we include our customers) and community (how we help to make the world more equitable).</w:t>
      </w:r>
    </w:p>
    <w:p>
      <w:pPr>
        <w:spacing w:after="0" w:line="7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have taken steps to diversify our candidate outreach through engagements with AfroTech, Merritt College, AnitaB.org, and a five-year strategic partnership with Claflin University. In our workplace, our Zoom Talks initiative creates ongoing spaces for our employees to learn more about one another’s unique backgrounds. We have a number of Employee Resource Groups (“ERGs”) with a focus on Black, Latinx, Women, Asian and Pacific Islander, Veteran, and LGBTQ+ communities. Our ERGs offer our employees support and community building opportunities, and help to foster an inclusive environment and diverse workplace. Our DEI Team continues to partner with teams leading our product design and marketing to invest in making our products even more inclusive and accessible to the diverse set of communities we serve.</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Compensation and Benefits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spacing w:after="0" w:line="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response to the COVID-19 pandemic, we implemented significant changes that we determined were in the best interest of our employees as well as the communities in which we operate. This includes having the vast majority of our employees work from home, while implementing additional safety measures for employees continuing critical on-site work. We also provide flexible work hours in certain cases. We have also provided a work-from-home reimbursement policy to assist employees in that transition.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Over the past year,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that the future of work at Zoom will be based on enabling a flexible working environment for our employees. We have created three "workstyles" for our employees (in-person, remote and hybrid) and will be allowing most employees to choose their own workstyle.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75"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announce material information to the public through a variety of means, including filings with the SEC, press releases, public conference calls, our website (www.zoom.com) and the investor relations section of our website (investors.zoom.us). We use these channels, as well as social media, including our blog (blog.zoom.us), our Twitter account (@zoom_us), our LinkedIn page (linkedin.com/company/zoom-video-communications), our Instagram page (instagram.com/zoom), our TikTok page (tiktok.com/@zoom), and our Facebook page (facebook.com/zoomvideocommunications),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4"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2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7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81"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6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While we continue to add paid users to our customer base, we expect our user growth rate to continue to slow or decline as the impact of the COVID-19 pandemic continues to taper, particularly as vaccines become widely available and distributed, and users return to work or school or are otherwise no longer subject to limitations on in-person meetings.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revenue growth rate has begun to decline and we expect our revenue growth rate to generally decline in future periods.</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have experienced significant revenue growth in prior periods. You should not rely on the revenue growth of any prior quarterly or annual period as an indication of our future performance. Our revenue growth rate has begun to decline and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vaccines become widely available and distributed, and users return to work or school or are otherwise no longer subject to limitations on in-person meetings, a failure by us to continue capitalizing on growth opportunities, and the maturation of our business, among others. Declines in our growth rate could adversely affect investors’ perceptions of our business and the trading price of our Class A common stock could be adversely affected.</w:t>
      </w:r>
    </w:p>
    <w:p>
      <w:pPr>
        <w:spacing w:after="0" w:line="185"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4" w:lineRule="exact"/>
        <w:rPr>
          <w:sz w:val="20"/>
          <w:szCs w:val="20"/>
          <w:color w:val="auto"/>
        </w:rPr>
      </w:pPr>
    </w:p>
    <w:p>
      <w:pPr>
        <w:jc w:val="both"/>
        <w:ind w:firstLine="470"/>
        <w:spacing w:after="0" w:line="285" w:lineRule="auto"/>
        <w:rPr>
          <w:sz w:val="20"/>
          <w:szCs w:val="20"/>
          <w:color w:val="auto"/>
        </w:rPr>
      </w:pPr>
      <w:r>
        <w:rPr>
          <w:rFonts w:ascii="Arial" w:cs="Arial" w:eastAsia="Arial" w:hAnsi="Arial"/>
          <w:sz w:val="16"/>
          <w:szCs w:val="16"/>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such as 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54"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legacy web-based meeting providers, including Cisco Webex and GoTo;</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bundled productivity solutions providers with video functionality, including Microsoft Teams and Google G Suite and Meet products;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UCaaS and legacy PBX providers, including Avaya, RingCentral, and 8x8;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consumer-facing platforms that can support small- or medium-sized businesses, including Amazon, Apple, and Facebook.</w:t>
      </w:r>
    </w:p>
    <w:p>
      <w:pPr>
        <w:spacing w:after="0" w:line="118"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Also, in connection with the travel restrictions and stay-in-place policies resulting from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7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3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Our quarterly results have fluctuated and may in the future fluctuate significantly and may not fully reflect the underlying performance of our business.</w:t>
      </w:r>
    </w:p>
    <w:p>
      <w:pPr>
        <w:spacing w:after="0" w:line="54"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Our quarterly results of operations have fluctuated and may in the future fluctuate significantly,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81" w:lineRule="exact"/>
        <w:rPr>
          <w:sz w:val="20"/>
          <w:szCs w:val="20"/>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retain and upgrade customers to higher-priced tiers of Zoom Meeting plans;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hire and retain employees, in particular those responsible for the selling or marketing of our platform;</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the way we organize and compensate our sales teams;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increase sales to large organizations;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length of our sales cycles, especially with respect to sales to large enterprises and highly regulated industries, including financial services and U.S. federal and state and foreign governmental agencies;</w:t>
      </w:r>
    </w:p>
    <w:p>
      <w:pPr>
        <w:spacing w:after="0" w:line="53"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timing and effectiveness of new sales and marketing initiatives;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hire and retain experienced research and development personnel to design new products, features, and functionality that meet our privacy and security standards;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functionality by us or our competitors;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interruptions or delays in our service; network outages; or actual, alleged, or perceived privacy violations or issues or security vulnerabilities, incidents, or breaches;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expenses related to any future acquisitions;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66"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5"/>
          <w:szCs w:val="15"/>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and the appeal was denied on January 28, 2022. The trade associations have sought rehearing with the full court of appeal.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2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As we increase sales to large organizations, our sales cycles could lengthen, and we could experience greater deployment challenges.</w:t>
      </w:r>
    </w:p>
    <w:p>
      <w:pPr>
        <w:spacing w:after="0" w:line="13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7" w:lineRule="exact"/>
        <w:rPr>
          <w:sz w:val="20"/>
          <w:szCs w:val="20"/>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awareness of the communications and collaboration technologies category;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new modes of communications and collaboration that may be developed in the future;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reliability of our platform, including frequency of outages;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user support;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pricing.</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expect to increase our expenses in the future, which could decrease our profitability or prevent us from maintaining profitability.</w:t>
      </w:r>
    </w:p>
    <w:p>
      <w:pPr>
        <w:spacing w:after="0" w:line="11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Although we generated net income of $1,375.6 million, $672.3 million, and $25.3 million for the fiscal years ended January 31, 2022, 2021, and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larger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7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6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5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not be able to respond to rapid technological changes, extend our platform, or develop new features.</w:t>
      </w:r>
    </w:p>
    <w:p>
      <w:pPr>
        <w:spacing w:after="0" w:line="11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1"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8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1"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operations involve the storage and transmission of customer and user information. Security incidents have occurred in the past and may occur in the future, resulting in unauthorized access to, loss or unauthorized disclosure of, or inadvertent disclosure of, this information, interruptions, delays, or outages in our operations and services, regulatory investigations or enforcement actions, litigation, indemnity obligations, and other possible liabilities, as well as negative publicity, which could damage our reputation, impair our sales, and harm our business.</w:t>
      </w:r>
    </w:p>
    <w:p>
      <w:pPr>
        <w:spacing w:after="0" w:line="7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Cyberattacks and other malicious internet-based activity continue to increase, and cloud-based platform providers of products and services have been and are expected to continue to be targeted. In addition to traditional computer “hackers,” we face security risks from sophisticated nation-state and nation-state supported actors, and advanced persistent threat intrusions.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If our security measures are compromised, our reputation could be damaged; our data, information or intellectual property, or that of our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w:t>
      </w:r>
    </w:p>
    <w:p>
      <w:pPr>
        <w:spacing w:after="0" w:line="5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 We expect security issues to arise in the future as our products and services are more widely adopted, and as we continue to expand the features and functionality of existing products and introduce new products.</w:t>
      </w:r>
    </w:p>
    <w:p>
      <w:pPr>
        <w:spacing w:after="0" w:line="7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While we have invested and expect to continue to invest significant resources in an effort to protect against security incidents and to mitigate, detect, and remediate actual and potential vulnerabilities, 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80"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Security incidents and vulnerabilities, and concerns regarding privacy, data protection, and information security may also cause some of our customers and hosts to stop using our solutions and fail to upgrade or renew their subscriptions. Further, as we rely on third-party and public-cloud infrastructure, we depend in part on third-party security measures to protect against unauthorized access, cyberattacks, and the mishandling of data and information.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52"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62"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5"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4,422 full-time employees as of January 31, 2021, to 6,787 full-time employees as of January 31, 2022,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the last two years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Our business may be significantly affected by a change in the economy, including any resulting effect on consumer or business spending.</w:t>
      </w:r>
    </w:p>
    <w:p>
      <w:pPr>
        <w:spacing w:after="0" w:line="13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business may be affected by changes in the economy generally, including as a result of the COVID-19 pandemic, any resulting effect on spending by our customers, and inflation. While some of our customers may consider our platform to be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cost-saving purchase, decreasing the need for business travel, others may view a subscription to our platform as a discretionary purchase, and our customers may reduce their discretionary spending on our platform during an economic downturn. Given current economic conditions, including inflation,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while we continue to add paid users to our customer base, we expect our user growth rate to continue to slow or decline as the impact of the COVID-19 pandemic continues to taper, particularly in light of a potential economic downturn.</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7" w:lineRule="exact"/>
        <w:rPr>
          <w:sz w:val="20"/>
          <w:szCs w:val="20"/>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issue refunds to our customers or expose us to claims for damages;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cause us to lose existing hosts and make it more difficult to attract new customers and hosts;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If we were to lose the services of our Chief Executive Officer or other members of our senior management team, we may not be able to execute our business strategy.</w:t>
      </w:r>
    </w:p>
    <w:p>
      <w:pPr>
        <w:spacing w:after="0" w:line="54"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In addition, our recruiting personnel, methodology, and approach may need to be altered to address a changing candidate pool and profile. We may not be able to identify or implement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such changes in a timely manner. In addition, we have experienced and may continue to experience employee turnover as a result of the ongoing “great resignation” occurring throughout the U.S. economy.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71"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6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as our stock price has fluctuated since our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have significant and expanding operations outside the United States, which may subject us to increased business, regulatory and economic risks that could harm our business.</w:t>
      </w:r>
    </w:p>
    <w:p>
      <w:pPr>
        <w:spacing w:after="0" w:line="54"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platform addresses the communications needs of users worldwide, and we see international expansion as a major opportunity. Our revenue from APAC and EMEA collectively represented 33%, 31%, and 19% of our total revenue for the fiscal years ended January 31, 2022, 2021, and 2020,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Operating internationally subjects us to new risks and may increase risks that we currently face, including risks associated with:</w:t>
      </w:r>
    </w:p>
    <w:p>
      <w:pPr>
        <w:spacing w:after="0" w:line="118" w:lineRule="exact"/>
        <w:rPr>
          <w:sz w:val="20"/>
          <w:szCs w:val="20"/>
          <w:color w:val="auto"/>
        </w:rPr>
      </w:pPr>
    </w:p>
    <w:p>
      <w:pPr>
        <w:ind w:left="640" w:hanging="322"/>
        <w:spacing w:after="0" w:line="28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information security, telecommunications requirements, data protection, consumer protection, and unsolicited email,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the risk of penalties to us and individual members of management or employees if our practices are deemed to be out of compliance;</w:t>
      </w:r>
    </w:p>
    <w:p>
      <w:pPr>
        <w:spacing w:after="0" w:line="118" w:lineRule="exact"/>
        <w:rPr>
          <w:sz w:val="20"/>
          <w:szCs w:val="20"/>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operating in foreign jurisdictions where the government may impede or interrupt our ability to provide our services;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29"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integration with partners outside of the United States;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political and economic instability, including as a result of the United Kingdom's (“U.K.”) withdrawal from the European Union (“EU”), and other political tensions between countries in which we do business;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35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following Russia’s military invasion of Ukraine in February 2022, NATO deployed additional military forces to Eastern Europe, and the United States, European Union, and other nations announced various sanctions against Russia.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w:t>
      </w:r>
    </w:p>
    <w:p>
      <w:pPr>
        <w:spacing w:after="0" w:line="5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also intend to expand our research and development presence in Phoenix, Arizona and Pittsburgh, Pennsylvania, as well as in Singapore and India. As a result of this expansion, we could experience, among other things, difficulty in attracting and retaining talent in these locations and higher operating expenses, which would adversely impact our operating margins and harm our business.</w:t>
      </w:r>
    </w:p>
    <w:p>
      <w:pPr>
        <w:spacing w:after="0" w:line="69"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45"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7"/>
          <w:szCs w:val="17"/>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7"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7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Any failure to offer high-quality support for our customers and hosts may harm our relationships with our customers and hosts and, consequently, our business.</w:t>
      </w:r>
    </w:p>
    <w:p>
      <w:pPr>
        <w:spacing w:after="0" w:line="54"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7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4"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5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Our results of operations, which are reported in U.S. dollars, could be adversely affected if currency exchange rates fluctuate substantially in the future.</w:t>
      </w:r>
    </w:p>
    <w:p>
      <w:pPr>
        <w:spacing w:after="0" w:line="5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January 31, 2022, 2021, and 2020, 22.6%, 20.2%, and 9.4% of our revenue, respectively, and 16.8%, 11.9%, and 17.5%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sales to government entities and other government contractors are subject to a number of additional challenges and risks.</w:t>
      </w:r>
    </w:p>
    <w:p>
      <w:pPr>
        <w:spacing w:after="0" w:line="11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expect to increase our sales to U.S. federal and state and foreign governmental agency customers, which may occur through sales to other companies that re-sell our services to government customers and/or through direct sales to government entities.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41" w:lineRule="exact"/>
        <w:rPr>
          <w:sz w:val="20"/>
          <w:szCs w:val="20"/>
          <w:color w:val="auto"/>
        </w:rPr>
      </w:pPr>
    </w:p>
    <w:p>
      <w:pPr>
        <w:ind w:left="640" w:hanging="322"/>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53"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67" w:lineRule="exact"/>
        <w:rPr>
          <w:rFonts w:ascii="Arial" w:cs="Arial" w:eastAsia="Arial" w:hAnsi="Arial"/>
          <w:sz w:val="17"/>
          <w:szCs w:val="17"/>
          <w:color w:val="auto"/>
        </w:rPr>
      </w:pPr>
    </w:p>
    <w:p>
      <w:pPr>
        <w:jc w:val="both"/>
        <w:ind w:left="640" w:hanging="322"/>
        <w:spacing w:after="0" w:line="267"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 demand and payment for our products may be influenced by public sector budgetary cycles and funding authorizations, with funding reductions or delays having an adverse impact on public sector demand for our products; and</w:t>
      </w:r>
    </w:p>
    <w:p>
      <w:pPr>
        <w:spacing w:after="0" w:line="53"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government-imposed vaccine mandates could result in increased attrition and difficulties in recruiting, and non-compliance with any such mandates could restrict our ability to do business with governmental entities.</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54"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74"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31"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harm our business.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provision for taxes on our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Tax Cuts and Jobs Act of 2017 requires the capitalization and amortization of research and development expenses effective for years beginning after December 31, 2021. Absent a change in legislation, we expect it will have a material impact on our cash flows beginning in the fiscal year ending January 31, 2023. Although Congress is considering legislation that would defer the amortization requirement to later years, we have no assurance that the provision will be deferred, repealed, or otherwise modified.</w:t>
      </w:r>
    </w:p>
    <w:p>
      <w:pPr>
        <w:spacing w:after="0" w:line="7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state income tax purposes, there may be periods during which the use of net operating losses is suspended or otherwise limited, including a California franchise tax law change limiting the usability of California state net operating losses to offset California taxable income in taxable years beginning on or after January 1, 2020 and before January 1, 2022.</w:t>
      </w:r>
    </w:p>
    <w:p>
      <w:pPr>
        <w:spacing w:after="0" w:line="67"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have maintained a valuation allowance on all our U.S. and U.K. net deferred tax assets since our inception as it was determined that it was more likely than not that we would not recognize the benefits of these assets. We continued to record a valuation allowance through the first nine months of fiscal 2022. In the fourth quarter of fiscal 2022, management concluded that the valuation allowance related to the U.S. federal and state deferred tax assets was no longer needed primarily due to its assessment of income/loss in recent periods and the forecast of future taxable income. As of January 31, 2022, based on evaluation of the positive and negative evidence, management believes it is more likely than not that the net deferred tax assets will be realized for U.S. federal and state purposes. Accordingly, management has recognized a non-recurring tax benefit of $328.0 million related to the valuation allowance reversal. As of January 31, 2022, we continued to maintain a valuation allowance of $12.6 million related to net deferred tax assets of our U.K. subsidiary and will maintain this valuation allowance until there is sufficient evidence to support the reversal of all or a portion of the allowance.</w:t>
      </w:r>
    </w:p>
    <w:p>
      <w:pPr>
        <w:spacing w:after="0" w:line="1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4"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81"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5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have a limited operating history at the current scale of our business, which makes it difficult to evaluate our prospects and future results of operations.</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Beginning in the fiscal quarter ended April 30, 2020, we faced unprecedented usage of our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are continually seeking to improve our ability to measure our key business metrics, and regularly review our processes to assess potential improvements.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Laws and Regulations</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Although we endeavor to comply with applicable laws and our policies, publications, certifications, and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Any actual or perceived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69"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and the United Kingdom (U.K.) implemented the U.K. GDPR. The GDPR and the U.K. GDPR impose more stringent data protection requirements and provide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w:t>
      </w:r>
    </w:p>
    <w:p>
      <w:pPr>
        <w:spacing w:after="0" w:line="66"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Certain jurisdictions have enacted data localization laws and cross-border data transfer laws. For example, absent appropriate safeguards or other circumstances, the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lawful mechanism by which entities can transfer personal information out of the EEA to jurisdictions that the European Commission has not found to provide an adequate level of protection. The Standard Contractual Clauses require parties that rely upon them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w:t>
      </w:r>
    </w:p>
    <w:p>
      <w:pPr>
        <w:spacing w:after="0" w:line="5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limiting our ability to collaborate with parties that are subject to European and other privacy, data protection, and information security laws; or requiring us to increase our personal information processing capabilities in Europe and/or elsewhere at significant expense.</w:t>
      </w:r>
    </w:p>
    <w:p>
      <w:pPr>
        <w:spacing w:after="0" w:line="8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are also subject to evolving EU and U.K. privacy laws on cookies and e-marketing. European regulators are increasingly focusing on compliance with requirements in the online behavioral advertising ecosystem, and current national laws that implement the ePrivacy Directive are likely to be replaced by the ePrivacy Regulation, which could lead to substantial costs, limit the effectiveness of our marketing and personalization activities, and subject us to additional liabilities.</w:t>
      </w:r>
    </w:p>
    <w:p>
      <w:pPr>
        <w:spacing w:after="0" w:line="7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States have also begun to introduce more comprehensive privacy legislation. For example, the California Consumer Privacy Act of 2018 (“CCPA”), which went into effect on January 1, 2020, affords consumers expanded privacy protections. The CCPA allows for statutory fines for noncompliance (up to $7,500 per violation). The CCPA will be expanded substantially on January 1, 2023 when the California Privacy Rights Act of 2020 (the “CPRA”), which was approved by California voters in November 2020, becomes fully operative.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7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CCPA appears to mark the beginning of a trend toward more stringent privacy legislation in the United States, as other states have followed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and Colorado have similarly enacted comprehensive privacy laws, the Consumer Data Protection Act and Colorado Privacy Act, respectively, both laws of which emulate the CCPA and CPRA in many respects. The Virginia Consumer Data Protection Act takes effect on January 1, 2023, and the Colorado Privacy Act takes effect on July 1, 2023.</w:t>
      </w:r>
    </w:p>
    <w:p>
      <w:pPr>
        <w:spacing w:after="0" w:line="77"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7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With laws and regulations, such as the GDPR and UK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Additional uses of our services arising out of increased demand associated with the COVID-19 pandemic may require us to address additional privacy, data protection, and information security laws, regulations, standards, policies, and contractual obligations.</w:t>
      </w:r>
    </w:p>
    <w:p>
      <w:pPr>
        <w:spacing w:after="0" w:line="7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6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7"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6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8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be subject to additional liabilities on past sales for taxes, surcharges, and fees.</w:t>
      </w:r>
    </w:p>
    <w:p>
      <w:pPr>
        <w:spacing w:after="0" w:line="11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7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will continue to submit as warranted initial and final voluntary self-disclosures regarding compliance with U.S. sanctions and export control laws and regulations to OFAC and the U.S. Department of Commerce’s Bureau of Industry and Security (“BIS”). For instance, in June 2021, we submitted an initial voluntary self-disclosure to BIS regarding compliance with certain U.S. export control laws and regulations.</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7"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7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device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Federal Regulation</w:t>
      </w:r>
    </w:p>
    <w:p>
      <w:pPr>
        <w:spacing w:after="0" w:line="11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6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6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State Regulation</w:t>
      </w:r>
    </w:p>
    <w:p>
      <w:pPr>
        <w:spacing w:after="0" w:line="11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federal court judge denied a request for a preliminary injunction against California’s state-specific network neutrality law, and as a result, California began enforcing that law on March 25, 2021. Trade associations representing internet service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providers appealed the district court’s ruling denying the preliminary injunction, and the appeal was denied on January 28, 2022. This decision could be appealed to the full court of appeals or the Supreme Court, or the parties could return to the trial court for further proceedings to determine whether a permanent injunction should be granted. We cannot predict whether other state initiatives will be enforced, modified, overturned, or vacated.</w:t>
      </w:r>
    </w:p>
    <w:p>
      <w:pPr>
        <w:spacing w:after="0" w:line="49"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Legislation has been adopted in Florida and Texas and has been introduced in at least fifteen additional states that is intended to reduce or eliminate the power of businesses operating on the Internet to moderate user-generated content, implicitly eliminating the federal protections granted under Section 230. In response to challenges from industry groups, federal courts have enjoined enforcement of the Florida and Texas laws, but appeals are pending in both cases.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International Regulation</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which, if resolved adversely, could harm our business.</w:t>
      </w:r>
    </w:p>
    <w:p>
      <w:pPr>
        <w:spacing w:after="0" w:line="54"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3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6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Our use of third-party open source software could negatively affect our ability to offer and sell subscriptions to our platform and subject us to possible litigation.</w:t>
      </w:r>
    </w:p>
    <w:p>
      <w:pPr>
        <w:spacing w:after="0" w:line="54"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77"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67" w:lineRule="exact"/>
        <w:rPr>
          <w:sz w:val="20"/>
          <w:szCs w:val="20"/>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29" w:lineRule="exact"/>
        <w:rPr>
          <w:rFonts w:ascii="Arial" w:cs="Arial" w:eastAsia="Arial" w:hAnsi="Arial"/>
          <w:sz w:val="16"/>
          <w:szCs w:val="16"/>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11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118" w:lineRule="exact"/>
        <w:rPr>
          <w:rFonts w:ascii="Arial" w:cs="Arial" w:eastAsia="Arial" w:hAnsi="Arial"/>
          <w:sz w:val="17"/>
          <w:szCs w:val="17"/>
          <w:color w:val="auto"/>
        </w:rPr>
      </w:pPr>
    </w:p>
    <w:p>
      <w:pPr>
        <w:ind w:left="620" w:hanging="30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7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January 31, 2022, the holders of our outstanding Class B common stock held 67.8% of the voting power of our outstanding capital stock, with our directors, executive officers and 5% stockholders and their respective affiliates holding 60.8% of such voting power in the aggregate. As of January 31, 2022, our founder, President and Chief Executive Officer, Eric S. Yuan, together with his affiliates, held approximately 7.6% of our outstanding capital stock but controlled approximately 29.8%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outstanding shares of Class B common stock, voting as a separate class, and (iv) the 15-year anniversary of the closing of our IPO.</w:t>
      </w:r>
    </w:p>
    <w:p>
      <w:pPr>
        <w:spacing w:after="0" w:line="11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6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may depress the valuations of publicly-traded companies excluded from the indices or depress our trading volume compared to those of other similar companies that are included.</w:t>
      </w:r>
    </w:p>
    <w:p>
      <w:pPr>
        <w:spacing w:after="0" w:line="1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Substantial future sales of shares of our Class A common stock and Class B common stock could cause the market price of our Class A common stock to decline.</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charter documents also contain other provisions that could have an anti-takeover effect, such as:</w:t>
      </w:r>
    </w:p>
    <w:p>
      <w:pPr>
        <w:spacing w:after="0" w:line="118" w:lineRule="exact"/>
        <w:rPr>
          <w:sz w:val="20"/>
          <w:szCs w:val="20"/>
          <w:color w:val="auto"/>
        </w:rPr>
      </w:pPr>
    </w:p>
    <w:p>
      <w:pPr>
        <w:ind w:left="5540" w:right="1980" w:hanging="4751"/>
        <w:spacing w:after="0" w:line="946" w:lineRule="auto"/>
        <w:tabs>
          <w:tab w:leader="none" w:pos="12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establishing a classified board of directors so that not all members of our board of directors are elected at one time;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-310515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permitting the board of directors to establish the number of directors and fill any vacancies and newly created directorships;</w:t>
      </w:r>
    </w:p>
    <w:p>
      <w:pPr>
        <w:spacing w:after="0" w:line="118" w:lineRule="exact"/>
        <w:rPr>
          <w:rFonts w:ascii="Arial" w:cs="Arial" w:eastAsia="Arial" w:hAnsi="Arial"/>
          <w:sz w:val="17"/>
          <w:szCs w:val="17"/>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providing that directors may only be removed for cause;</w:t>
      </w:r>
    </w:p>
    <w:p>
      <w:pPr>
        <w:spacing w:after="0" w:line="118" w:lineRule="exact"/>
        <w:rPr>
          <w:rFonts w:ascii="Arial" w:cs="Arial" w:eastAsia="Arial" w:hAnsi="Arial"/>
          <w:sz w:val="17"/>
          <w:szCs w:val="17"/>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prohibiting cumulative voting for directors;</w:t>
      </w:r>
    </w:p>
    <w:p>
      <w:pPr>
        <w:spacing w:after="0" w:line="118" w:lineRule="exact"/>
        <w:rPr>
          <w:rFonts w:ascii="Arial" w:cs="Arial" w:eastAsia="Arial" w:hAnsi="Arial"/>
          <w:sz w:val="17"/>
          <w:szCs w:val="17"/>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requiring super-majority voting to amend some provisions in our certificate of incorporation and bylaws;</w:t>
      </w:r>
    </w:p>
    <w:p>
      <w:pPr>
        <w:spacing w:after="0" w:line="118" w:lineRule="exact"/>
        <w:rPr>
          <w:rFonts w:ascii="Arial" w:cs="Arial" w:eastAsia="Arial" w:hAnsi="Arial"/>
          <w:sz w:val="17"/>
          <w:szCs w:val="17"/>
          <w:color w:val="auto"/>
        </w:rPr>
      </w:pPr>
    </w:p>
    <w:p>
      <w:pPr>
        <w:ind w:left="1260" w:hanging="471"/>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29" w:lineRule="exact"/>
        <w:rPr>
          <w:rFonts w:ascii="Arial" w:cs="Arial" w:eastAsia="Arial" w:hAnsi="Arial"/>
          <w:sz w:val="16"/>
          <w:szCs w:val="16"/>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eliminating the ability of stockholders to call special meetings of stockholders;</w:t>
      </w:r>
    </w:p>
    <w:p>
      <w:pPr>
        <w:spacing w:after="0" w:line="118" w:lineRule="exact"/>
        <w:rPr>
          <w:rFonts w:ascii="Arial" w:cs="Arial" w:eastAsia="Arial" w:hAnsi="Arial"/>
          <w:sz w:val="17"/>
          <w:szCs w:val="17"/>
          <w:color w:val="auto"/>
        </w:rPr>
      </w:pPr>
    </w:p>
    <w:p>
      <w:pPr>
        <w:ind w:left="1260" w:hanging="471"/>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29" w:lineRule="exact"/>
        <w:rPr>
          <w:rFonts w:ascii="Arial" w:cs="Arial" w:eastAsia="Arial" w:hAnsi="Arial"/>
          <w:sz w:val="16"/>
          <w:szCs w:val="16"/>
          <w:color w:val="auto"/>
        </w:rPr>
      </w:pPr>
    </w:p>
    <w:p>
      <w:pPr>
        <w:ind w:left="1260" w:hanging="47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dual-class common stock structure as described above.</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7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70"/>
        <w:spacing w:after="0" w:line="295"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w:t>
      </w:r>
    </w:p>
    <w:p>
      <w:pPr>
        <w:jc w:val="both"/>
        <w:ind w:firstLine="5"/>
        <w:spacing w:after="0" w:line="276" w:lineRule="auto"/>
        <w:tabs>
          <w:tab w:leader="none" w:pos="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future. As a result, stockholders must rely on sales of their Class A common stock after price appreciation as the only way to realize any future returns on their investment.</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General Risk Factors</w:t>
      </w:r>
    </w:p>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4"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11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66" w:lineRule="exact"/>
        <w:rPr>
          <w:sz w:val="20"/>
          <w:szCs w:val="20"/>
          <w:color w:val="auto"/>
        </w:rPr>
      </w:pPr>
    </w:p>
    <w:p>
      <w:pPr>
        <w:jc w:val="both"/>
        <w:ind w:firstLine="470"/>
        <w:spacing w:after="0" w:line="301" w:lineRule="auto"/>
        <w:rPr>
          <w:sz w:val="20"/>
          <w:szCs w:val="20"/>
          <w:color w:val="auto"/>
        </w:rPr>
      </w:pPr>
      <w:r>
        <w:rPr>
          <w:rFonts w:ascii="Arial" w:cs="Arial" w:eastAsia="Arial" w:hAnsi="Arial"/>
          <w:sz w:val="15"/>
          <w:szCs w:val="15"/>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w:t>
      </w:r>
    </w:p>
    <w:p>
      <w:pPr>
        <w:spacing w:after="0" w:line="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7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74"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3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6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b w:val="1"/>
          <w:bCs w:val="1"/>
          <w:i w:val="1"/>
          <w:iCs w:val="1"/>
          <w:color w:val="auto"/>
        </w:rPr>
        <w:t>We incur costs and demands upon management as a result of complying with the laws and regulations affecting public companies in the United States, which may harm our business.</w:t>
      </w:r>
    </w:p>
    <w:p>
      <w:pPr>
        <w:spacing w:after="0" w:line="54"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4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 We believe that our facilities are suitable to meet our current needs.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Information with respect to this item may be found in Note 8 -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Class A common stock is listed on the Nasdaq Global Select Market under the symbol “ZM.”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January 31, 2022, we had 57 holders of record of our Class A common stock and 17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4"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3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April 18, 2019 (the date our Class A common stock commenced trading on the Nasdaq Global Select Market) through January 31, 2022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54610</wp:posOffset>
            </wp:positionV>
            <wp:extent cx="4921250" cy="2937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1250" cy="293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Omitted at registrant's option.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mission is to make video communications frictionless and secure.</w:t>
      </w:r>
    </w:p>
    <w:p>
      <w:pPr>
        <w:spacing w:after="0" w:line="11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Zoom enables users to connect to others, share ideas, make plans, and build toward a future limited only by their imagination. Our frictionless communications platform started with video as its foundation, and we have set the standard for innovation ever since. We connect people through our core unified communications offering, which frictionlessly brings together video, phone, chat, and webinars, and enables meaningful experiences across disparate devices and locations. Our Developer Platform enables customers, developers, and service providers to easily build apps and integrations on top of Zoom’s industry-leading video communications platform, with opportunities for global discovery and distribution. Our virtual and hybrid event solutions allow users to seamlessly create and manage engaging events. We believe that face-to-face communications build greater empathy and trust. We strive to live up to the trust our customers place in us by delivering a communications solution while prioritizing their privacy and security. Our 24 co-located data centers worldwide and the public cloud enable us to provide both high-quality and high-definition, real-time video to our customers even in low-bandwidth environments.</w:t>
      </w:r>
    </w:p>
    <w:p>
      <w:pPr>
        <w:spacing w:after="0" w:line="6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generate revenue from the sale of subscriptions to our unified communications platform. Subscription revenue is driven primarily by the number of paid hosts as well as purchases of additional products, including Zoom Rooms, Zoom Webinars, Zoom Phone, Zoom Events,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7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more than 45 countries and territories where Zoom has local public switched telephone network (“PSTN”) coverage. In addition, the Zoom United plan launched in December 2020 provides a single license for customers to purchase Zoom Phone, Meetings and chat capabilities as a bundled offering.</w:t>
      </w:r>
    </w:p>
    <w:p>
      <w:pPr>
        <w:spacing w:after="0" w:line="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revenue was $4,099.9 million, $2,651.4 million, and $622.7 million for the fiscal years ended January 31, 2022, 2021, and 2020, respectively, representing period-over-period growth rate of 55% and 326% for fiscal year 2022 and fiscal year 2021, respectively. We had net income of $1,375.6 million, $672.3 million, and $25.3 million for the fiscal years ended January 31, 2022, 2021, and 2020, respectively. Net cash provided by operating activities was $1,605.3 million, $1,471.2 million, and $151.9 million for the fiscal years ended January 31, 2022, 2021, and 2020, respectively.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12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March 2020, the World Health Organization declared COVID-19 a pandemic, affecting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domains worldwide.</w:t>
      </w:r>
    </w:p>
    <w:p>
      <w:pPr>
        <w:spacing w:after="0" w:line="6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While we have experienced a significant increase in paid hosts and revenue due to the pandemic, the aforementioned factors have also driven increased usage of our services and have required us to expand our network,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affected, and may continue to adversely affect, our gross margin.</w:t>
      </w:r>
    </w:p>
    <w:p>
      <w:pPr>
        <w:spacing w:after="0" w:line="74"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addition, there is no assurance that we will experience an increase in paid hosts or that new or existing users will continue to utilize our service after the COVID-19 pandemic has tapered globally. Moreover, the tapering of the COVID-19 pandemic, particularly as vaccines become widely available and distributed, may result in a decline in paid hosts and users once individuals are no longer working or attending school from home.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Expansion of Zoom Across Existing Customers</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HaaS, Zoom for Home, Zoom Rooms at each office location, Developer Platform solutions, Zoom Events,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7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for customers with more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than 10 employees was 129% as of January 31, 2022 and greater than 130% as of January 31, 2021 and 2020. The trailing 12-month net dollar expansion rate for customers with more than 10 employees was under 130% as of January 31, 2022 as the denominator of this trailing 12-month metric reflects the significant growth in our customer base during the last two years.</w:t>
      </w:r>
    </w:p>
    <w:p>
      <w:pPr>
        <w:spacing w:after="0" w:line="6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our business has changed and evolved, we have expansively built out our direct sales team, resellers, and strategic partners. We expect that revenue from customers engaged through these channels, which we call Enterprise customers, will constitute an increasingly higher percentage of our revenue over time, and therefore we believe our performance with Enterprise customers is a more important factor affecting our business than our performance with existing customers with more than 10 employees. Beginning with the first quarter of fiscal year 2023, we will no longer present the trailing 12-month net dollar expansion rate for customers with more than 10 employees. However, we will still provide this metric through the end of fiscal year 2023 in the appendix to the investor deck that we will continue to post on our investor relations website each quarter at investors.zoom.us. Going forward, we will instead provide the trailing 12-month net dollar expansion rate for Enterprise customers.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Expansion of Zoom Across Existing Enterprise Customers</w:t>
      </w:r>
    </w:p>
    <w:p>
      <w:pPr>
        <w:spacing w:after="0" w:line="11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net dollar expansion rate for Enterprise customers is calculated the same way as discussed above by applying the ARR specifically from Enterprise customers. We define Enterprise customers as distinct business units who have been engaged by either our direct sales team, resellers, or strategic partners. We assess our performance with Enterprise customers by measuring our net dollar expansion rate. Our net dollar expansion rate for Enterprise customers measures our ability to increase revenue across our existing Enterprise customer base through expansion of users and products. Our trailing 12-month net dollar expansion rate for Enterprise customers was 130% as of January 31, 2022, and greater than 130% as of January 31, 2021 and 2020, respectively.</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Innovation and Expansion of Our Platform</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continue to invest resources to enhance the capabilities of our platform. For example, we have recently introduced a number of product enhancements, including new features for Zoom Phone, Zoom Meetings, and Zoom Webinars. We addressed new work-from-home realities with the introduction of Zoom for Home, a solution designed for the home office that combines Zoom software enhancements with compatible hardware. We also expanded our geographic footprint with Zoom Phone availability to more than 45 countries and territories during fiscal year 2022.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7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An end-to-end encryption (“E2EE”) option is available to free and paid Zoom customers globally who host meetings with up to 200 participants. Zoom’s E2EE uses the same AES-256-GCM encryption that secures Zoom meetings by default, but with Zoom’s E2EE, the meeting host generates encryption keys and uses public key cryptography to distribute these keys to the other meeting participants.</w:t>
      </w:r>
    </w:p>
    <w:p>
      <w:pPr>
        <w:spacing w:after="0" w:line="67"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In July 2021, we introduced Zoom Events. Zoom Events provides businesses with a virtual event management solution and enables users to manage and host all types of internal and external virtual events. This includes the ability to create a “hub” where all of a business’ events can be listed with corresponding information about each experience. It also enables event hosts to provide ticketing and registration for attendees, and the ability to track these activities.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International Expansion</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the rest of world (APAC and EMEA) represented 33%, 31%, and 19% of our total revenue for the fiscal years ended January 31, 2022, 2021, and 2020,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have historically reviewed the following key business metrics to measure our performance, identify trends, formulate financial projections, and make strategic decisions.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Customers with More Than 10 Employees</w:t>
      </w:r>
    </w:p>
    <w:p>
      <w:pPr>
        <w:spacing w:after="0" w:line="118"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January 31, 2022, 2021, and 2020, we had approximately 509,800, 467,100, and 81,900 customers, respectively, with more than 10 employees. When disclosing the number of customers, we round down to the nearest hundred.</w:t>
      </w:r>
    </w:p>
    <w:p>
      <w:pPr>
        <w:spacing w:after="0" w:line="6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we approach our three-year anniversary as a public company, our business has evolved substantially and the metrics that management uses to evaluate the business have changed. Beginning with the first quarter of fiscal year 2023, we will no longer present the number of customers with more than 10 employees. However, we will still provide this metric through the end of fiscal year 2023 in the appendix to the investor deck that we will continue to post on our investor relations website each quarter at investors.zoom.us.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Customers Contributing More Than $100,000 of Trailing 12 Months Revenue</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focus on growing the number of customers that contribute more than $100,000 of trailing 12 months revenue as it is a measure of our ability to scale with our customers and attract larger organizations to Zoom. Revenue from these customers represented 22%, 20%, and 33% of total revenue for the fiscal years ended January 31, 2022, 2021, and 2020, respectively. As of January 31, 2022, 2021, and 2020, we had 2,725, 1,644, and 641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Number of Enterprise Customers</w:t>
      </w:r>
    </w:p>
    <w:p>
      <w:pPr>
        <w:spacing w:after="0" w:line="11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January 31, 2022, 2021, and 2020, we had approximately 191,000, 141,100, and 54,600 Enterprise customers.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addition to our results determined in accordance with GAAP, we believe that free cash flow (“FCF”) and adjusted free cash flow (“Adjusted FCF”), non-GAAP financial measures, are useful in evaluating our liquidity.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Free Cash Flow and Adjusted Free Cash Flow</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define FCF as GAAP net cash provided by operating activities less purchases of property and equipment. We define Adjusted FCF as FCF plus litigation settlement payments, net. We add back litigation settlement payments, net because they are not part of our ongoing operating activities, and the consideration of measures that exclude such payments can assist in the comparison of cash generated from operations in different periods which may or may not include such payments and assist in the comparison with the results of other companies in the industry. We believe that FCF and Adjusted FCF are useful indicators of liquidity that provides information to management and investors about the amount of cash generated from our operations that, after investments in property and equipment, can be used for future growth. FCF and Adjusted FCF are presented for supplemental informational purposes only, have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these metrics, may calculate these metrics differently, or may use other financial measures to evaluate their liquidity, all of which could reduce the usefulness of these non-GAAP metrics as a comparative measure.</w:t>
      </w:r>
    </w:p>
    <w:p>
      <w:pPr>
        <w:spacing w:after="0" w:line="7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presents a summary of our cash flows for the fiscal years presented and a reconciliation of FCF and Adjusted FCF to net cash provided by operating activities, the most directly comparable financial measure calculated in accordance with GAAP: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January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151,892</w:t>
            </w:r>
          </w:p>
        </w:tc>
        <w:tc>
          <w:tcPr>
            <w:tcW w:w="0" w:type="dxa"/>
            <w:vAlign w:val="bottom"/>
          </w:tcPr>
          <w:p>
            <w:pPr>
              <w:spacing w:after="0"/>
              <w:rPr>
                <w:sz w:val="1"/>
                <w:szCs w:val="1"/>
                <w:color w:val="auto"/>
              </w:rPr>
            </w:pPr>
          </w:p>
        </w:tc>
      </w:tr>
      <w:tr>
        <w:trPr>
          <w:trHeight w:val="222"/>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purchases of property and equipment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(132,590)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1,472,676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1,391,205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113,808</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7"/>
                <w:szCs w:val="17"/>
                <w:color w:val="auto"/>
              </w:rPr>
              <w:t>Add: Litigation settlement payments, net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free cash flow (non-GAAP)</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1,391,205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113,808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193"/>
              <w:spacing w:after="0" w:line="194"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(2,859,097)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6"/>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(1,562,420)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3"/>
              <w:spacing w:after="0" w:line="194"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(499,468)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2,050,277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615,690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due to increased usage over time. However, the cost of revenue as a percentage of revenue may decrease over time as we scale our data centers to accommodate usage from our increased customer base and as the ratio of free to paid users varies.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Research and Development</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in absolute dollars during the upcoming fiscal year. We expect, however, that our research and development expenses as a percentage of revenue will remain relatively flat during the upcoming fiscal year.</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Sales and Marketing</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 increasing the headcount of our direct sales force and marketing investments in demand generation. As a result, we expect our sales and marketing expenses to increase in absolute dollars during the upcoming fiscal year. We expect, however, that our sales and marketing expenses as a percentage of revenue will remain relatively flat during the upcoming fiscal year.</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Administrative</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General and administrative expenses primarily consist of personnel-related expenses associated with our finance and legal organizations; professional fees for external legal, accounting, and other consulting services; expected credit losses; insurance; indirect taxes; litigation settlements, and allocated overhead. We expect to increase the size of our general and administrative function to support the growth and complexity of our business. As a result, we expect our general 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administrative expenses to increase in absolute dollars during the upcoming fiscal year. We expect, however, that our general and administrative expenses as a percentage of revenue will remain relatively flat during the upcoming fiscal year.</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Gains on Strategic Investments, Net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Gains on strategic investments, net consist primarily of remeasurement gains or losses on our equity investments.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11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Other (expense) income, net consists primarily of interest income and net accretion on our marketable securities and effect of changes in foreign currency exchange rates.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(Benefit from) 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4"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following tables set forth selected consolidated statements of operations data and such data as a percentage of revenue for each of the fiscal years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January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1"/>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11"/>
        </w:trPr>
        <w:tc>
          <w:tcPr>
            <w:tcW w:w="6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4,099,864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622,658</w:t>
            </w:r>
          </w:p>
        </w:tc>
      </w:tr>
      <w:tr>
        <w:trPr>
          <w:trHeight w:val="222"/>
        </w:trPr>
        <w:tc>
          <w:tcPr>
            <w:tcW w:w="612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1,054,554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821,989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115,396</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3,045,310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1,829,379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507,262</w:t>
            </w:r>
          </w:p>
        </w:tc>
      </w:tr>
      <w:tr>
        <w:trPr>
          <w:trHeight w:val="202"/>
        </w:trPr>
        <w:tc>
          <w:tcPr>
            <w:tcW w:w="61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612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67,079</w:t>
            </w:r>
          </w:p>
        </w:tc>
      </w:tr>
      <w:tr>
        <w:trPr>
          <w:trHeight w:val="222"/>
        </w:trPr>
        <w:tc>
          <w:tcPr>
            <w:tcW w:w="6120" w:type="dxa"/>
            <w:vAlign w:val="bottom"/>
          </w:tcPr>
          <w:p>
            <w:pPr>
              <w:ind w:left="220"/>
              <w:spacing w:after="0" w:line="222" w:lineRule="exact"/>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1,135,959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684,904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340,646</w:t>
            </w:r>
          </w:p>
        </w:tc>
      </w:tr>
      <w:tr>
        <w:trPr>
          <w:trHeight w:val="222"/>
        </w:trPr>
        <w:tc>
          <w:tcPr>
            <w:tcW w:w="612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482,770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320,547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86,841</w:t>
            </w:r>
          </w:p>
        </w:tc>
      </w:tr>
      <w:tr>
        <w:trPr>
          <w:trHeight w:val="215"/>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1,981,719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1,169,531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494,566</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659,848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12,696</w:t>
            </w:r>
          </w:p>
        </w:tc>
      </w:tr>
      <w:tr>
        <w:trPr>
          <w:trHeight w:val="222"/>
        </w:trPr>
        <w:tc>
          <w:tcPr>
            <w:tcW w:w="6120" w:type="dxa"/>
            <w:vAlign w:val="bottom"/>
          </w:tcPr>
          <w:p>
            <w:pPr>
              <w:ind w:left="20"/>
              <w:spacing w:after="0"/>
              <w:rPr>
                <w:sz w:val="20"/>
                <w:szCs w:val="20"/>
                <w:color w:val="auto"/>
              </w:rPr>
            </w:pPr>
            <w:r>
              <w:rPr>
                <w:rFonts w:ascii="Arial" w:cs="Arial" w:eastAsia="Arial" w:hAnsi="Arial"/>
                <w:sz w:val="17"/>
                <w:szCs w:val="17"/>
                <w:color w:val="auto"/>
              </w:rPr>
              <w:t>Gains on strategic investments,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13,666</w:t>
            </w:r>
          </w:p>
        </w:tc>
      </w:tr>
      <w:tr>
        <w:trPr>
          <w:trHeight w:val="215"/>
        </w:trPr>
        <w:tc>
          <w:tcPr>
            <w:tcW w:w="6120" w:type="dxa"/>
            <w:vAlign w:val="bottom"/>
          </w:tcPr>
          <w:p>
            <w:pPr>
              <w:ind w:left="20"/>
              <w:spacing w:after="0"/>
              <w:rPr>
                <w:sz w:val="20"/>
                <w:szCs w:val="20"/>
                <w:color w:val="auto"/>
              </w:rPr>
            </w:pPr>
            <w:r>
              <w:rPr>
                <w:rFonts w:ascii="Arial" w:cs="Arial" w:eastAsia="Arial" w:hAnsi="Arial"/>
                <w:sz w:val="17"/>
                <w:szCs w:val="17"/>
                <w:color w:val="auto"/>
              </w:rPr>
              <w:t>Income before (benefit from) provision for income taxes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1,101,632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678,034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26,362</w:t>
            </w:r>
          </w:p>
        </w:tc>
      </w:tr>
      <w:tr>
        <w:trPr>
          <w:trHeight w:val="22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15"/>
        </w:trPr>
        <w:tc>
          <w:tcPr>
            <w:tcW w:w="6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1,375,639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672,316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25,305</w:t>
            </w:r>
          </w:p>
        </w:tc>
      </w:tr>
      <w:tr>
        <w:trPr>
          <w:trHeight w:val="20"/>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200" w:hanging="178"/>
        <w:spacing w:after="0"/>
        <w:tabs>
          <w:tab w:leader="none" w:pos="2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revenue</w:t>
            </w:r>
          </w:p>
        </w:tc>
        <w:tc>
          <w:tcPr>
            <w:tcW w:w="2240" w:type="dxa"/>
            <w:vAlign w:val="bottom"/>
            <w:gridSpan w:val="3"/>
            <w:shd w:val="clear" w:color="auto" w:fill="CFF0FC"/>
          </w:tcPr>
          <w:p>
            <w:pPr>
              <w:jc w:val="right"/>
              <w:ind w:right="7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69,612</w:t>
            </w:r>
          </w:p>
        </w:tc>
        <w:tc>
          <w:tcPr>
            <w:tcW w:w="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34,960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7,860</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113,000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50,161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11,645</w:t>
            </w: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229,297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146,377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41,465</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65,378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44,320</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12,139</w:t>
            </w:r>
          </w:p>
        </w:tc>
        <w:tc>
          <w:tcPr>
            <w:tcW w:w="0" w:type="dxa"/>
            <w:vAlign w:val="bottom"/>
          </w:tcPr>
          <w:p>
            <w:pPr>
              <w:spacing w:after="0"/>
              <w:rPr>
                <w:sz w:val="1"/>
                <w:szCs w:val="1"/>
                <w:color w:val="auto"/>
              </w:rPr>
            </w:pPr>
          </w:p>
        </w:tc>
      </w:tr>
      <w:tr>
        <w:trPr>
          <w:trHeight w:val="235"/>
        </w:trPr>
        <w:tc>
          <w:tcPr>
            <w:tcW w:w="47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stock-based compensation expense</w:t>
            </w:r>
          </w:p>
        </w:tc>
        <w:tc>
          <w:tcPr>
            <w:tcW w:w="2240" w:type="dxa"/>
            <w:vAlign w:val="bottom"/>
            <w:gridSpan w:val="3"/>
            <w:shd w:val="clear" w:color="auto" w:fill="CFF0FC"/>
          </w:tcPr>
          <w:p>
            <w:pPr>
              <w:jc w:val="right"/>
              <w:ind w:right="7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477,287</w:t>
            </w:r>
          </w:p>
        </w:tc>
        <w:tc>
          <w:tcPr>
            <w:tcW w:w="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275,818</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73,109</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gridSpan w:val="8"/>
          </w:tcPr>
          <w:p>
            <w:pPr>
              <w:ind w:left="60"/>
              <w:spacing w:after="0"/>
              <w:rPr>
                <w:sz w:val="20"/>
                <w:szCs w:val="20"/>
                <w:color w:val="auto"/>
              </w:rPr>
            </w:pPr>
            <w:r>
              <w:rPr>
                <w:rFonts w:ascii="Arial" w:cs="Arial" w:eastAsia="Arial" w:hAnsi="Arial"/>
                <w:sz w:val="14"/>
                <w:szCs w:val="14"/>
                <w:b w:val="1"/>
                <w:bCs w:val="1"/>
                <w:color w:val="auto"/>
              </w:rPr>
              <w:t>(as a percentage of revenue)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1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47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5"/>
        </w:trPr>
        <w:tc>
          <w:tcPr>
            <w:tcW w:w="47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rPr>
                <w:sz w:val="20"/>
                <w:szCs w:val="20"/>
                <w:color w:val="auto"/>
              </w:rPr>
            </w:pPr>
            <w:r>
              <w:rPr>
                <w:rFonts w:ascii="Arial" w:cs="Arial" w:eastAsia="Arial" w:hAnsi="Arial"/>
                <w:sz w:val="17"/>
                <w:szCs w:val="17"/>
                <w:color w:val="auto"/>
              </w:rPr>
              <w:t>Gains on strategic investments, net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7"/>
                <w:szCs w:val="17"/>
                <w:color w:val="auto"/>
              </w:rPr>
              <w:t>Income before (benefit from) provision for income taxes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ind w:right="133"/>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7"/>
                <w:szCs w:val="17"/>
                <w:color w:val="auto"/>
              </w:rPr>
              <w:t>50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7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Fiscal Years Ended January 31, 2022 and 2021</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Year Ended January 31,</w:t>
            </w:r>
          </w:p>
        </w:tc>
        <w:tc>
          <w:tcPr>
            <w:tcW w:w="1560" w:type="dxa"/>
            <w:vAlign w:val="bottom"/>
            <w:tcBorders>
              <w:bottom w:val="single" w:sz="8" w:color="auto"/>
            </w:tcBorders>
          </w:tcPr>
          <w:p>
            <w:pPr>
              <w:spacing w:after="0"/>
              <w:rPr>
                <w:sz w:val="16"/>
                <w:szCs w:val="16"/>
                <w:color w:val="auto"/>
              </w:rPr>
            </w:pPr>
          </w:p>
        </w:tc>
      </w:tr>
      <w:tr>
        <w:trPr>
          <w:trHeight w:val="181"/>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percentages)</w:t>
            </w:r>
          </w:p>
        </w:tc>
        <w:tc>
          <w:tcPr>
            <w:tcW w:w="1560" w:type="dxa"/>
            <w:vAlign w:val="bottom"/>
          </w:tcPr>
          <w:p>
            <w:pPr>
              <w:spacing w:after="0"/>
              <w:rPr>
                <w:sz w:val="18"/>
                <w:szCs w:val="18"/>
                <w:color w:val="auto"/>
              </w:rPr>
            </w:pPr>
          </w:p>
        </w:tc>
      </w:tr>
      <w:tr>
        <w:trPr>
          <w:trHeight w:val="227"/>
        </w:trPr>
        <w:tc>
          <w:tcPr>
            <w:tcW w:w="5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7"/>
                <w:szCs w:val="17"/>
                <w:color w:val="auto"/>
              </w:rPr>
              <w:t>4,099,864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2,651,368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1,448,496</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55 %</w:t>
            </w:r>
          </w:p>
        </w:tc>
      </w:tr>
    </w:tbl>
    <w:p>
      <w:pPr>
        <w:spacing w:after="0" w:line="28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 xml:space="preserve">Revenue for the fiscal year ended January 31, 2022 increased by $1,448.5 million, or 55%, compared to the fiscal year ended January 31, 2021. </w:t>
      </w:r>
      <w:r>
        <w:rPr>
          <w:rFonts w:ascii="Arial" w:cs="Arial" w:eastAsia="Arial" w:hAnsi="Arial"/>
          <w:sz w:val="15"/>
          <w:szCs w:val="15"/>
          <w:color w:val="231F20"/>
        </w:rPr>
        <w:t>D</w:t>
      </w:r>
      <w:r>
        <w:rPr>
          <w:rFonts w:ascii="Arial" w:cs="Arial" w:eastAsia="Arial" w:hAnsi="Arial"/>
          <w:sz w:val="15"/>
          <w:szCs w:val="15"/>
          <w:color w:val="auto"/>
        </w:rPr>
        <w:t>ue to the COVID-19 pandemic, t</w:t>
      </w:r>
      <w:r>
        <w:rPr>
          <w:rFonts w:ascii="Arial" w:cs="Arial" w:eastAsia="Arial" w:hAnsi="Arial"/>
          <w:sz w:val="15"/>
          <w:szCs w:val="15"/>
          <w:color w:val="231F20"/>
        </w:rPr>
        <w:t>here was</w:t>
      </w:r>
      <w:r>
        <w:rPr>
          <w:rFonts w:ascii="Arial" w:cs="Arial" w:eastAsia="Arial" w:hAnsi="Arial"/>
          <w:sz w:val="15"/>
          <w:szCs w:val="15"/>
          <w:color w:val="auto"/>
        </w:rPr>
        <w:t xml:space="preserve"> an expansion in usage of our services, and many organizations around the world continued utilizing our platform to support their operations remotely. As a result, the increase in revenue was primarily due to subscription services provided to existing customers, which accounted for approximately 70% of the increase, and to subscription services provided to new customers, which accounted for approximately 30% of the increase.</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January 31,</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1"/>
        </w:trPr>
        <w:tc>
          <w:tcPr>
            <w:tcW w:w="2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5"/>
                <w:szCs w:val="15"/>
                <w:color w:val="auto"/>
              </w:rPr>
            </w:pPr>
          </w:p>
        </w:tc>
      </w:tr>
      <w:tr>
        <w:trPr>
          <w:trHeight w:val="211"/>
        </w:trPr>
        <w:tc>
          <w:tcPr>
            <w:tcW w:w="2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(in thousands, except percentages)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7"/>
        </w:trPr>
        <w:tc>
          <w:tcPr>
            <w:tcW w:w="27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Cost of revenue</w:t>
            </w:r>
          </w:p>
        </w:tc>
        <w:tc>
          <w:tcPr>
            <w:tcW w:w="84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177"/>
              <w:spacing w:after="0"/>
              <w:rPr>
                <w:sz w:val="20"/>
                <w:szCs w:val="20"/>
                <w:color w:val="auto"/>
              </w:rPr>
            </w:pPr>
            <w:r>
              <w:rPr>
                <w:rFonts w:ascii="Arial" w:cs="Arial" w:eastAsia="Arial" w:hAnsi="Arial"/>
                <w:sz w:val="17"/>
                <w:szCs w:val="17"/>
                <w:color w:val="auto"/>
              </w:rPr>
              <w:t>1,054,554</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182"/>
              <w:spacing w:after="0"/>
              <w:rPr>
                <w:sz w:val="20"/>
                <w:szCs w:val="20"/>
                <w:color w:val="auto"/>
              </w:rPr>
            </w:pPr>
            <w:r>
              <w:rPr>
                <w:rFonts w:ascii="Arial" w:cs="Arial" w:eastAsia="Arial" w:hAnsi="Arial"/>
                <w:sz w:val="17"/>
                <w:szCs w:val="17"/>
                <w:color w:val="auto"/>
              </w:rPr>
              <w:t>821,989</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232,565</w:t>
            </w: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79"/>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00" w:type="dxa"/>
            <w:vAlign w:val="bottom"/>
          </w:tcPr>
          <w:p>
            <w:pPr>
              <w:ind w:left="500"/>
              <w:spacing w:after="0"/>
              <w:rPr>
                <w:sz w:val="20"/>
                <w:szCs w:val="20"/>
                <w:color w:val="auto"/>
              </w:rPr>
            </w:pPr>
            <w:r>
              <w:rPr>
                <w:rFonts w:ascii="Arial" w:cs="Arial" w:eastAsia="Arial" w:hAnsi="Arial"/>
                <w:sz w:val="17"/>
                <w:szCs w:val="17"/>
                <w:color w:val="auto"/>
              </w:rPr>
              <w:t>Gross profit</w:t>
            </w:r>
          </w:p>
        </w:tc>
        <w:tc>
          <w:tcPr>
            <w:tcW w:w="840" w:type="dxa"/>
            <w:vAlign w:val="bottom"/>
          </w:tcPr>
          <w:p>
            <w:pPr>
              <w:spacing w:after="0"/>
              <w:rPr>
                <w:sz w:val="19"/>
                <w:szCs w:val="19"/>
                <w:color w:val="auto"/>
              </w:rPr>
            </w:pPr>
          </w:p>
        </w:tc>
        <w:tc>
          <w:tcPr>
            <w:tcW w:w="1220" w:type="dxa"/>
            <w:vAlign w:val="bottom"/>
          </w:tcPr>
          <w:p>
            <w:pPr>
              <w:jc w:val="right"/>
              <w:ind w:right="177"/>
              <w:spacing w:after="0"/>
              <w:rPr>
                <w:sz w:val="20"/>
                <w:szCs w:val="20"/>
                <w:color w:val="auto"/>
              </w:rPr>
            </w:pPr>
            <w:r>
              <w:rPr>
                <w:rFonts w:ascii="Arial" w:cs="Arial" w:eastAsia="Arial" w:hAnsi="Arial"/>
                <w:sz w:val="17"/>
                <w:szCs w:val="17"/>
                <w:color w:val="auto"/>
              </w:rPr>
              <w:t>3,045,310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182"/>
              <w:spacing w:after="0"/>
              <w:rPr>
                <w:sz w:val="20"/>
                <w:szCs w:val="20"/>
                <w:color w:val="auto"/>
              </w:rPr>
            </w:pPr>
            <w:r>
              <w:rPr>
                <w:rFonts w:ascii="Arial" w:cs="Arial" w:eastAsia="Arial" w:hAnsi="Arial"/>
                <w:sz w:val="17"/>
                <w:szCs w:val="17"/>
                <w:color w:val="auto"/>
              </w:rPr>
              <w:t>1,829,379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1,215,931</w:t>
            </w:r>
          </w:p>
        </w:tc>
        <w:tc>
          <w:tcPr>
            <w:tcW w:w="80" w:type="dxa"/>
            <w:vAlign w:val="bottom"/>
          </w:tcPr>
          <w:p>
            <w:pPr>
              <w:spacing w:after="0"/>
              <w:rPr>
                <w:sz w:val="19"/>
                <w:szCs w:val="19"/>
                <w:color w:val="auto"/>
              </w:rPr>
            </w:pPr>
          </w:p>
        </w:tc>
        <w:tc>
          <w:tcPr>
            <w:tcW w:w="1420" w:type="dxa"/>
            <w:vAlign w:val="bottom"/>
          </w:tcPr>
          <w:p>
            <w:pPr>
              <w:jc w:val="right"/>
              <w:ind w:right="379"/>
              <w:spacing w:after="0"/>
              <w:rPr>
                <w:sz w:val="20"/>
                <w:szCs w:val="20"/>
                <w:color w:val="auto"/>
              </w:rPr>
            </w:pPr>
            <w:r>
              <w:rPr>
                <w:rFonts w:ascii="Arial" w:cs="Arial" w:eastAsia="Arial" w:hAnsi="Arial"/>
                <w:sz w:val="17"/>
                <w:szCs w:val="17"/>
                <w:color w:val="auto"/>
              </w:rPr>
              <w:t>66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Gross margin</w:t>
            </w:r>
          </w:p>
        </w:tc>
        <w:tc>
          <w:tcPr>
            <w:tcW w:w="8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77"/>
              <w:spacing w:after="0"/>
              <w:rPr>
                <w:sz w:val="20"/>
                <w:szCs w:val="20"/>
                <w:color w:val="auto"/>
              </w:rPr>
            </w:pPr>
            <w:r>
              <w:rPr>
                <w:rFonts w:ascii="Arial" w:cs="Arial" w:eastAsia="Arial" w:hAnsi="Arial"/>
                <w:sz w:val="17"/>
                <w:szCs w:val="17"/>
                <w:color w:val="auto"/>
              </w:rPr>
              <w:t>74</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82"/>
              <w:spacing w:after="0"/>
              <w:rPr>
                <w:sz w:val="20"/>
                <w:szCs w:val="20"/>
                <w:color w:val="auto"/>
              </w:rPr>
            </w:pPr>
            <w:r>
              <w:rPr>
                <w:rFonts w:ascii="Arial" w:cs="Arial" w:eastAsia="Arial" w:hAnsi="Arial"/>
                <w:sz w:val="17"/>
                <w:szCs w:val="17"/>
                <w:color w:val="auto"/>
              </w:rPr>
              <w:t>69</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275"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 xml:space="preserve">Cost of revenue for the fiscal year ended January 31, 2022 increased by $232.6 million, or 28%, compared to the fiscal year ended January 31, 2021. </w:t>
      </w:r>
      <w:r>
        <w:rPr>
          <w:rFonts w:ascii="Arial" w:cs="Arial" w:eastAsia="Arial" w:hAnsi="Arial"/>
          <w:sz w:val="17"/>
          <w:szCs w:val="17"/>
          <w:color w:val="231F20"/>
        </w:rPr>
        <w:t>In</w:t>
      </w:r>
      <w:r>
        <w:rPr>
          <w:rFonts w:ascii="Arial" w:cs="Arial" w:eastAsia="Arial" w:hAnsi="Arial"/>
          <w:sz w:val="17"/>
          <w:szCs w:val="17"/>
          <w:color w:val="auto"/>
        </w:rPr>
        <w:t xml:space="preserve"> </w:t>
      </w:r>
      <w:r>
        <w:rPr>
          <w:rFonts w:ascii="Arial" w:cs="Arial" w:eastAsia="Arial" w:hAnsi="Arial"/>
          <w:sz w:val="17"/>
          <w:szCs w:val="17"/>
          <w:color w:val="231F20"/>
        </w:rPr>
        <w:t xml:space="preserve">response to the COVID-19 pandemic, we have temporarily removed the 40-minute time limit for meetings with more than two endpoints from our free Basic accounts for more than 125,000 K-12 </w:t>
      </w:r>
      <w:r>
        <w:rPr>
          <w:rFonts w:ascii="Arial" w:cs="Arial" w:eastAsia="Arial" w:hAnsi="Arial"/>
          <w:sz w:val="17"/>
          <w:szCs w:val="17"/>
          <w:color w:val="000000"/>
        </w:rPr>
        <w:t>school domains worldwide</w:t>
      </w:r>
      <w:r>
        <w:rPr>
          <w:rFonts w:ascii="Arial" w:cs="Arial" w:eastAsia="Arial" w:hAnsi="Arial"/>
          <w:sz w:val="17"/>
          <w:szCs w:val="17"/>
          <w:color w:val="231F20"/>
        </w:rPr>
        <w:t xml:space="preserve">. We also experienced a significant increase in usage from paid users as more companies utilized our platform to allow their employees to work remotely. </w:t>
      </w:r>
      <w:r>
        <w:rPr>
          <w:rFonts w:ascii="Arial" w:cs="Arial" w:eastAsia="Arial" w:hAnsi="Arial"/>
          <w:sz w:val="17"/>
          <w:szCs w:val="17"/>
          <w:color w:val="000000"/>
        </w:rPr>
        <w:t>This increase in usage resulted in</w:t>
      </w:r>
      <w:r>
        <w:rPr>
          <w:rFonts w:ascii="Arial" w:cs="Arial" w:eastAsia="Arial" w:hAnsi="Arial"/>
          <w:sz w:val="17"/>
          <w:szCs w:val="17"/>
          <w:color w:val="231F20"/>
        </w:rPr>
        <w:t xml:space="preserve"> an increase of </w:t>
      </w:r>
      <w:r>
        <w:rPr>
          <w:rFonts w:ascii="Arial" w:cs="Arial" w:eastAsia="Arial" w:hAnsi="Arial"/>
          <w:sz w:val="17"/>
          <w:szCs w:val="17"/>
          <w:color w:val="000000"/>
        </w:rPr>
        <w:t>$83.5 million</w:t>
      </w:r>
      <w:r>
        <w:rPr>
          <w:rFonts w:ascii="Arial" w:cs="Arial" w:eastAsia="Arial" w:hAnsi="Arial"/>
          <w:sz w:val="17"/>
          <w:szCs w:val="17"/>
          <w:color w:val="231F20"/>
        </w:rPr>
        <w:t xml:space="preserve"> in costs related to third-party cloud hosting, our co-located data centers, and integrated third-party PSTN services to support the increase in customers and expanded use of our unified communications platform by existing customers. The remaining increase was primarily due to an increase of </w:t>
      </w:r>
      <w:r>
        <w:rPr>
          <w:rFonts w:ascii="Arial" w:cs="Arial" w:eastAsia="Arial" w:hAnsi="Arial"/>
          <w:sz w:val="17"/>
          <w:szCs w:val="17"/>
          <w:color w:val="000000"/>
        </w:rPr>
        <w:t>$99.0 million in personnel-related expenses mainly</w:t>
      </w:r>
      <w:r>
        <w:rPr>
          <w:rFonts w:ascii="Arial" w:cs="Arial" w:eastAsia="Arial" w:hAnsi="Arial"/>
          <w:sz w:val="17"/>
          <w:szCs w:val="17"/>
          <w:color w:val="231F20"/>
        </w:rPr>
        <w:t xml:space="preserve"> </w:t>
      </w:r>
      <w:r>
        <w:rPr>
          <w:rFonts w:ascii="Arial" w:cs="Arial" w:eastAsia="Arial" w:hAnsi="Arial"/>
          <w:sz w:val="17"/>
          <w:szCs w:val="17"/>
          <w:color w:val="000000"/>
        </w:rPr>
        <w:t>driven by additional headcount, which includes a $34.7 million increase in stock-based compensation expense; an increase of $26.6 million related to subscription to software-based services; an increase of $9.3 million in allocated overhead expenses; and an increase of $8.6 million in professional services mainly for customer support.</w:t>
      </w:r>
    </w:p>
    <w:p>
      <w:pPr>
        <w:spacing w:after="0" w:line="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Gross margin increased to 74% for the fiscal year ended January 31, 2022 from 69% for the fiscal year ended January 31, 2021. The increase in gross margin was mainly due to increased efficiencies as we expanded our data center capacity to accommodate the increased usage as well as lower rates from third-party cloud hosting providers.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Research and Development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Year Ended January 31,</w:t>
            </w: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1"/>
        </w:trPr>
        <w:tc>
          <w:tcPr>
            <w:tcW w:w="3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15"/>
                <w:szCs w:val="15"/>
                <w:color w:val="auto"/>
              </w:rPr>
            </w:pPr>
          </w:p>
        </w:tc>
      </w:tr>
      <w:tr>
        <w:trPr>
          <w:trHeight w:val="211"/>
        </w:trPr>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(in thousands, except percentages)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7"/>
        </w:trPr>
        <w:tc>
          <w:tcPr>
            <w:tcW w:w="3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Research and development</w:t>
            </w:r>
          </w:p>
        </w:tc>
        <w:tc>
          <w:tcPr>
            <w:tcW w:w="78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7"/>
                <w:szCs w:val="17"/>
                <w:color w:val="auto"/>
              </w:rPr>
              <w:t>362,990</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164,080</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198,910</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42"/>
              <w:spacing w:after="0"/>
              <w:rPr>
                <w:sz w:val="20"/>
                <w:szCs w:val="20"/>
                <w:color w:val="auto"/>
              </w:rPr>
            </w:pPr>
            <w:r>
              <w:rPr>
                <w:rFonts w:ascii="Arial" w:cs="Arial" w:eastAsia="Arial" w:hAnsi="Arial"/>
                <w:sz w:val="17"/>
                <w:szCs w:val="17"/>
                <w:color w:val="auto"/>
              </w:rPr>
              <w:t>121</w:t>
            </w: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bl>
    <w:p>
      <w:pPr>
        <w:spacing w:after="0" w:line="28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Research and development expense for the fiscal year ended January 31, 2022 increased by $198.9 million, or 121%, compared to the fiscal year ended January 31, 2021. The increase was primarily due to higher personnel-related expenses of $182.1 million mainly driven by additional headcount, which includes a $62.8 million increase in stock-based compensation expense. The remainder of the increase was primarily attributable to an increase of $11.6 million in allocated overhead expenses, and an increase of $6.8 million related to subscription to software-based services.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Sales and Marketing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486"/>
              <w:spacing w:after="0"/>
              <w:rPr>
                <w:sz w:val="20"/>
                <w:szCs w:val="20"/>
                <w:color w:val="auto"/>
              </w:rPr>
            </w:pPr>
            <w:r>
              <w:rPr>
                <w:rFonts w:ascii="Arial" w:cs="Arial" w:eastAsia="Arial" w:hAnsi="Arial"/>
                <w:sz w:val="14"/>
                <w:szCs w:val="14"/>
                <w:b w:val="1"/>
                <w:bCs w:val="1"/>
                <w:color w:val="auto"/>
                <w:w w:val="91"/>
              </w:rPr>
              <w:t>Year Ended January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81"/>
        </w:trPr>
        <w:tc>
          <w:tcPr>
            <w:tcW w:w="3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5"/>
              </w:rPr>
              <w:t>$ Change</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auto"/>
            </w:tcBorders>
          </w:tcPr>
          <w:p>
            <w:pPr>
              <w:spacing w:after="0"/>
              <w:rPr>
                <w:sz w:val="15"/>
                <w:szCs w:val="15"/>
                <w:color w:val="auto"/>
              </w:rPr>
            </w:pPr>
          </w:p>
        </w:tc>
      </w:t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(in thousands, except percentages)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7"/>
        </w:trPr>
        <w:tc>
          <w:tcPr>
            <w:tcW w:w="36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Sales and marketing</w:t>
            </w:r>
          </w:p>
        </w:tc>
        <w:tc>
          <w:tcPr>
            <w:tcW w:w="80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1,135,959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684,904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451,055</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62"/>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bl>
    <w:p>
      <w:pPr>
        <w:spacing w:after="0" w:line="28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 xml:space="preserve">Sales and marketing expense for the fiscal year ended January 31, 2022 increased by $451.1 million, or 66%, compared to the fiscal year ended January 31, 2021. The increase in sales and marketing expense was primarily due to higher personnel-related expenses of $308.2 million, </w:t>
      </w:r>
      <w:r>
        <w:rPr>
          <w:rFonts w:ascii="Arial" w:cs="Arial" w:eastAsia="Arial" w:hAnsi="Arial"/>
          <w:sz w:val="17"/>
          <w:szCs w:val="17"/>
          <w:color w:val="231F20"/>
        </w:rPr>
        <w:t>mainly driven by</w:t>
      </w:r>
      <w:r>
        <w:rPr>
          <w:rFonts w:ascii="Arial" w:cs="Arial" w:eastAsia="Arial" w:hAnsi="Arial"/>
          <w:sz w:val="17"/>
          <w:szCs w:val="17"/>
          <w:color w:val="auto"/>
        </w:rPr>
        <w:t xml:space="preserve"> </w:t>
      </w:r>
      <w:r>
        <w:rPr>
          <w:rFonts w:ascii="Arial" w:cs="Arial" w:eastAsia="Arial" w:hAnsi="Arial"/>
          <w:sz w:val="17"/>
          <w:szCs w:val="17"/>
          <w:color w:val="231F20"/>
        </w:rPr>
        <w:t>additional headcount in our sales force to support the increased demand</w:t>
      </w:r>
      <w:r>
        <w:rPr>
          <w:rFonts w:ascii="Arial" w:cs="Arial" w:eastAsia="Arial" w:hAnsi="Arial"/>
          <w:sz w:val="17"/>
          <w:szCs w:val="17"/>
          <w:color w:val="000000"/>
        </w:rPr>
        <w:t>, which includes an increase of $82.9 million in stock-based compensation expense; and</w:t>
      </w:r>
      <w:r>
        <w:rPr>
          <w:rFonts w:ascii="Arial" w:cs="Arial" w:eastAsia="Arial" w:hAnsi="Arial"/>
          <w:sz w:val="17"/>
          <w:szCs w:val="17"/>
          <w:color w:val="231F20"/>
        </w:rPr>
        <w:t xml:space="preserve"> </w:t>
      </w:r>
      <w:r>
        <w:rPr>
          <w:rFonts w:ascii="Arial" w:cs="Arial" w:eastAsia="Arial" w:hAnsi="Arial"/>
          <w:sz w:val="17"/>
          <w:szCs w:val="17"/>
          <w:color w:val="000000"/>
        </w:rPr>
        <w:t>an increase of $73.0 million in amortization of deferred contract acquisition costs driven by our increase in revenue. The remaining increase was primarily due to an increase of $104.4 million in marketing and sales event-related costs mainly due to an increase in digital advertising programs, an increase of $19.1 million in credit card processing fees as a result of increased online payments, an increase of $17.1 million in allocated overhead expenses, and an increase of $8.4 million related to subscription to software-based services.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 Ended January 31,</w:t>
            </w:r>
          </w:p>
        </w:tc>
        <w:tc>
          <w:tcPr>
            <w:tcW w:w="1560" w:type="dxa"/>
            <w:vAlign w:val="bottom"/>
            <w:tcBorders>
              <w:bottom w:val="single" w:sz="8" w:color="auto"/>
            </w:tcBorders>
          </w:tcPr>
          <w:p>
            <w:pPr>
              <w:spacing w:after="0"/>
              <w:rPr>
                <w:sz w:val="16"/>
                <w:szCs w:val="16"/>
                <w:color w:val="auto"/>
              </w:rPr>
            </w:pPr>
          </w:p>
        </w:tc>
      </w:tr>
      <w:tr>
        <w:trPr>
          <w:trHeight w:val="181"/>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Pr>
          <w:p>
            <w:pPr>
              <w:spacing w:after="0"/>
              <w:rPr>
                <w:sz w:val="18"/>
                <w:szCs w:val="18"/>
                <w:color w:val="auto"/>
              </w:rPr>
            </w:pPr>
          </w:p>
        </w:tc>
      </w:tr>
      <w:tr>
        <w:trPr>
          <w:trHeight w:val="227"/>
        </w:trPr>
        <w:tc>
          <w:tcPr>
            <w:tcW w:w="5240" w:type="dxa"/>
            <w:vAlign w:val="bottom"/>
            <w:shd w:val="clear" w:color="auto" w:fill="CFF0FC"/>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482,770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ind w:left="480"/>
              <w:spacing w:after="0"/>
              <w:rPr>
                <w:sz w:val="20"/>
                <w:szCs w:val="20"/>
                <w:color w:val="auto"/>
              </w:rPr>
            </w:pPr>
            <w:r>
              <w:rPr>
                <w:rFonts w:ascii="Arial" w:cs="Arial" w:eastAsia="Arial" w:hAnsi="Arial"/>
                <w:sz w:val="17"/>
                <w:szCs w:val="17"/>
                <w:color w:val="auto"/>
              </w:rPr>
              <w:t>320,547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162,223</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51 %</w:t>
            </w:r>
          </w:p>
        </w:tc>
      </w:tr>
    </w:tbl>
    <w:p>
      <w:pPr>
        <w:spacing w:after="0" w:line="275"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General and administrative expense for the fiscal year ended January 31, 2022 increased by $162.2 million, or 51%, compared to the fiscal year ended January 31, 2021. The increase in general and administrative expense was primarily due to an increase of $72.2 million in personnel-related expenses mainly driven by additional headcount, which includes a $21.1 million increase in stock-based compensation expense; an increase of $66.9 million in litigation settlement expense, net of amounts estimated to be covered by insurance; an increase of $44.1 million related to professional services composed primarily of legal and other consulting fees; and an increase of $28.8 million related to subscription to software-based services. This is partially offset by a decrease of $31.8 million related to a contingent liability for sales and other indirect taxes, and a decrease of $23.3 million due to charitable donations related mainly to shares transferred to a donor advised fund in the fiscal year ended January 31, 2021.</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Gains on Strategic Investments,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Year Ended January 31,</w:t>
            </w:r>
          </w:p>
        </w:tc>
        <w:tc>
          <w:tcPr>
            <w:tcW w:w="1560" w:type="dxa"/>
            <w:vAlign w:val="bottom"/>
            <w:tcBorders>
              <w:bottom w:val="single" w:sz="8" w:color="auto"/>
            </w:tcBorders>
          </w:tcPr>
          <w:p>
            <w:pPr>
              <w:spacing w:after="0"/>
              <w:rPr>
                <w:sz w:val="16"/>
                <w:szCs w:val="16"/>
                <w:color w:val="auto"/>
              </w:rPr>
            </w:pPr>
          </w:p>
        </w:tc>
      </w:tr>
      <w:tr>
        <w:trPr>
          <w:trHeight w:val="181"/>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percentages)</w:t>
            </w:r>
          </w:p>
        </w:tc>
        <w:tc>
          <w:tcPr>
            <w:tcW w:w="1560" w:type="dxa"/>
            <w:vAlign w:val="bottom"/>
          </w:tcPr>
          <w:p>
            <w:pPr>
              <w:spacing w:after="0"/>
              <w:rPr>
                <w:sz w:val="18"/>
                <w:szCs w:val="18"/>
                <w:color w:val="auto"/>
              </w:rPr>
            </w:pPr>
          </w:p>
        </w:tc>
      </w:tr>
      <w:tr>
        <w:trPr>
          <w:trHeight w:val="227"/>
        </w:trPr>
        <w:tc>
          <w:tcPr>
            <w:tcW w:w="5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Gains on strategic investments, net</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7"/>
                <w:szCs w:val="17"/>
                <w:color w:val="auto"/>
              </w:rPr>
              <w:t>43,761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41,223</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1,624 %</w:t>
            </w: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Gains on strategic investments, net recognized during the fiscal year ended January 31, 2022 was driven by $49.9 million unrealized gains recognized on our privately held equity securities, partially offset by $6.2 million unrealized losses recognized on our publicly traded equity securities.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Year Ended January 31,</w:t>
            </w:r>
          </w:p>
        </w:tc>
        <w:tc>
          <w:tcPr>
            <w:tcW w:w="1560" w:type="dxa"/>
            <w:vAlign w:val="bottom"/>
            <w:tcBorders>
              <w:bottom w:val="single" w:sz="8" w:color="auto"/>
            </w:tcBorders>
          </w:tcPr>
          <w:p>
            <w:pPr>
              <w:spacing w:after="0"/>
              <w:rPr>
                <w:sz w:val="16"/>
                <w:szCs w:val="16"/>
                <w:color w:val="auto"/>
              </w:rPr>
            </w:pPr>
          </w:p>
        </w:tc>
      </w:tr>
      <w:tr>
        <w:trPr>
          <w:trHeight w:val="181"/>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percentages)</w:t>
            </w:r>
          </w:p>
        </w:tc>
        <w:tc>
          <w:tcPr>
            <w:tcW w:w="1560" w:type="dxa"/>
            <w:vAlign w:val="bottom"/>
          </w:tcPr>
          <w:p>
            <w:pPr>
              <w:spacing w:after="0"/>
              <w:rPr>
                <w:sz w:val="18"/>
                <w:szCs w:val="18"/>
                <w:color w:val="auto"/>
              </w:rPr>
            </w:pPr>
          </w:p>
        </w:tc>
      </w:tr>
      <w:tr>
        <w:trPr>
          <w:trHeight w:val="227"/>
        </w:trPr>
        <w:tc>
          <w:tcPr>
            <w:tcW w:w="5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(expense) income, net</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15,648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(21,368)</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w:t>
            </w:r>
          </w:p>
        </w:tc>
      </w:tr>
    </w:tbl>
    <w:p>
      <w:pPr>
        <w:spacing w:after="0" w:line="288"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Other (expense) income, net for the fiscal year ended January 31, 2022 decreased by $21.4 million, or 137%, compared to the fiscal year ended January 31, 2021. The decrease was primarily attributable to a decrease of $19.2 million related to changes in foreign currency exchange rates.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Year Ended January 31,</w:t>
            </w:r>
          </w:p>
        </w:tc>
        <w:tc>
          <w:tcPr>
            <w:tcW w:w="1560" w:type="dxa"/>
            <w:vAlign w:val="bottom"/>
            <w:tcBorders>
              <w:bottom w:val="single" w:sz="8" w:color="auto"/>
            </w:tcBorders>
          </w:tcPr>
          <w:p>
            <w:pPr>
              <w:spacing w:after="0"/>
              <w:rPr>
                <w:sz w:val="16"/>
                <w:szCs w:val="16"/>
                <w:color w:val="auto"/>
              </w:rPr>
            </w:pPr>
          </w:p>
        </w:tc>
      </w:tr>
      <w:tr>
        <w:trPr>
          <w:trHeight w:val="181"/>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percentages)</w:t>
            </w:r>
          </w:p>
        </w:tc>
        <w:tc>
          <w:tcPr>
            <w:tcW w:w="1560" w:type="dxa"/>
            <w:vAlign w:val="bottom"/>
          </w:tcPr>
          <w:p>
            <w:pPr>
              <w:spacing w:after="0"/>
              <w:rPr>
                <w:sz w:val="18"/>
                <w:szCs w:val="18"/>
                <w:color w:val="auto"/>
              </w:rPr>
            </w:pPr>
          </w:p>
        </w:tc>
      </w:tr>
      <w:tr>
        <w:trPr>
          <w:trHeight w:val="227"/>
        </w:trPr>
        <w:tc>
          <w:tcPr>
            <w:tcW w:w="51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(274,007)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(279,725)</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(4,892)%</w:t>
            </w:r>
          </w:p>
        </w:tc>
      </w:tr>
    </w:tbl>
    <w:p>
      <w:pPr>
        <w:spacing w:after="0" w:line="288"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Benefit from income taxes for the fiscal year ended January 31, 2022 was $274.0 million, compared to a provision for income taxes of $5.7 million the fiscal year ended January 31, 2021. The change in income taxes was primarily due to the valuation allowance release on the U.S. federal and state deferred tax assets. See Note 10 “Income Taxes” to our consolidated financial statements included in Part II, Item 8 of this Form 10-K for more details on the valuation allowance release.</w:t>
      </w:r>
    </w:p>
    <w:p>
      <w:pPr>
        <w:spacing w:after="0" w:line="176"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For a discussion of the fiscal year ended January 31, 2021 compared to the fiscal year ended January 31, 2020, please refer to Part II, Item 7, “Management's Discussion and Analysis of Financial Condition and Results of Operations” in our Annual Report on Form 10-K for the fiscal year ended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4"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As of January 31, 2022, our principal sources of liquidity were cash, cash equivalents, and marketable securities of $5.4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7" w:lineRule="exact"/>
        <w:rPr>
          <w:sz w:val="20"/>
          <w:szCs w:val="20"/>
          <w:color w:val="auto"/>
        </w:rPr>
      </w:pPr>
    </w:p>
    <w:p>
      <w:pPr>
        <w:jc w:val="both"/>
        <w:ind w:right="100" w:firstLine="470"/>
        <w:spacing w:after="0" w:line="277" w:lineRule="auto"/>
        <w:rPr>
          <w:sz w:val="20"/>
          <w:szCs w:val="20"/>
          <w:color w:val="auto"/>
        </w:rPr>
      </w:pPr>
      <w:r>
        <w:rPr>
          <w:rFonts w:ascii="Arial" w:cs="Arial" w:eastAsia="Arial" w:hAnsi="Arial"/>
          <w:sz w:val="16"/>
          <w:szCs w:val="16"/>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65"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Our material cash requirements from known contractual and other obligations primarily relate to our leases for office space and equipment, as well as non-cancelable purchase obligations. Expected timing of those payments are as follows:</w:t>
      </w:r>
    </w:p>
    <w:p>
      <w:pPr>
        <w:spacing w:after="0" w:line="83"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Less Than</w:t>
            </w:r>
          </w:p>
        </w:tc>
        <w:tc>
          <w:tcPr>
            <w:tcW w:w="600" w:type="dxa"/>
            <w:vAlign w:val="bottom"/>
          </w:tcPr>
          <w:p>
            <w:pPr>
              <w:spacing w:after="0"/>
              <w:rPr>
                <w:sz w:val="11"/>
                <w:szCs w:val="11"/>
                <w:color w:val="auto"/>
              </w:rPr>
            </w:pPr>
          </w:p>
        </w:tc>
        <w:tc>
          <w:tcPr>
            <w:tcW w:w="1220" w:type="dxa"/>
            <w:vAlign w:val="bottom"/>
            <w:gridSpan w:val="2"/>
          </w:tcPr>
          <w:p>
            <w:pPr>
              <w:ind w:left="360"/>
              <w:spacing w:after="0" w:line="129" w:lineRule="exact"/>
              <w:rPr>
                <w:sz w:val="20"/>
                <w:szCs w:val="20"/>
                <w:color w:val="auto"/>
              </w:rPr>
            </w:pPr>
            <w:r>
              <w:rPr>
                <w:rFonts w:ascii="Arial" w:cs="Arial" w:eastAsia="Arial" w:hAnsi="Arial"/>
                <w:sz w:val="14"/>
                <w:szCs w:val="14"/>
                <w:b w:val="1"/>
                <w:bCs w:val="1"/>
                <w:color w:val="auto"/>
              </w:rPr>
              <w:t>1 – 3</w:t>
            </w:r>
          </w:p>
        </w:tc>
        <w:tc>
          <w:tcPr>
            <w:tcW w:w="620" w:type="dxa"/>
            <w:vAlign w:val="bottom"/>
          </w:tcPr>
          <w:p>
            <w:pPr>
              <w:spacing w:after="0"/>
              <w:rPr>
                <w:sz w:val="11"/>
                <w:szCs w:val="11"/>
                <w:color w:val="auto"/>
              </w:rPr>
            </w:pPr>
          </w:p>
        </w:tc>
        <w:tc>
          <w:tcPr>
            <w:tcW w:w="114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3 – 5</w:t>
            </w:r>
          </w:p>
        </w:tc>
        <w:tc>
          <w:tcPr>
            <w:tcW w:w="6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w w:val="99"/>
              </w:rPr>
              <w:t>1 Year</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480"/>
              <w:spacing w:after="0" w:line="176" w:lineRule="exact"/>
              <w:rPr>
                <w:sz w:val="20"/>
                <w:szCs w:val="20"/>
                <w:color w:val="auto"/>
              </w:rPr>
            </w:pPr>
            <w:r>
              <w:rPr>
                <w:rFonts w:ascii="Arial" w:cs="Arial" w:eastAsia="Arial" w:hAnsi="Arial"/>
                <w:sz w:val="17"/>
                <w:szCs w:val="17"/>
                <w:color w:val="auto"/>
              </w:rPr>
              <w:t>Operating lease</w:t>
            </w: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117,763</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24,490</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47,787</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30,171</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1"/>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w:t>
            </w:r>
          </w:p>
        </w:tc>
        <w:tc>
          <w:tcPr>
            <w:tcW w:w="7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480"/>
              <w:spacing w:after="0" w:line="171" w:lineRule="exact"/>
              <w:rPr>
                <w:sz w:val="20"/>
                <w:szCs w:val="20"/>
                <w:color w:val="auto"/>
              </w:rPr>
            </w:pPr>
            <w:r>
              <w:rPr>
                <w:rFonts w:ascii="Arial" w:cs="Arial" w:eastAsia="Arial" w:hAnsi="Arial"/>
                <w:sz w:val="17"/>
                <w:szCs w:val="17"/>
                <w:color w:val="auto"/>
              </w:rPr>
              <w:t>Non-cancelable</w:t>
            </w:r>
          </w:p>
        </w:tc>
        <w:tc>
          <w:tcPr>
            <w:tcW w:w="7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386,594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227,182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159,412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260" w:type="dxa"/>
            <w:vAlign w:val="bottom"/>
          </w:tcPr>
          <w:p>
            <w:pPr>
              <w:ind w:left="20"/>
              <w:spacing w:after="0"/>
              <w:rPr>
                <w:sz w:val="20"/>
                <w:szCs w:val="20"/>
                <w:color w:val="auto"/>
              </w:rPr>
            </w:pPr>
            <w:r>
              <w:rPr>
                <w:rFonts w:ascii="Arial" w:cs="Arial" w:eastAsia="Arial" w:hAnsi="Arial"/>
                <w:sz w:val="17"/>
                <w:szCs w:val="17"/>
                <w:color w:val="auto"/>
              </w:rPr>
              <w:t>purchase obligations</w:t>
            </w:r>
          </w:p>
        </w:tc>
        <w:tc>
          <w:tcPr>
            <w:tcW w:w="7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260" w:type="dxa"/>
            <w:vAlign w:val="bottom"/>
            <w:tcBorders>
              <w:top w:val="single" w:sz="8" w:color="CCEEFF"/>
            </w:tcBorders>
            <w:shd w:val="clear" w:color="auto" w:fill="CCEEFF"/>
          </w:tcPr>
          <w:p>
            <w:pPr>
              <w:ind w:left="800"/>
              <w:spacing w:after="0" w:line="151" w:lineRule="exact"/>
              <w:rPr>
                <w:sz w:val="20"/>
                <w:szCs w:val="20"/>
                <w:color w:val="auto"/>
              </w:rPr>
            </w:pPr>
            <w:r>
              <w:rPr>
                <w:rFonts w:ascii="Arial" w:cs="Arial" w:eastAsia="Arial" w:hAnsi="Arial"/>
                <w:sz w:val="17"/>
                <w:szCs w:val="17"/>
                <w:color w:val="auto"/>
              </w:rPr>
              <w:t>Total contractual</w:t>
            </w:r>
          </w:p>
        </w:tc>
        <w:tc>
          <w:tcPr>
            <w:tcW w:w="76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504,357</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251,672</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207,199</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30,171</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5"/>
        </w:trPr>
        <w:tc>
          <w:tcPr>
            <w:tcW w:w="2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obligations</w:t>
            </w: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00" w:firstLine="470"/>
        <w:spacing w:after="0" w:line="297" w:lineRule="auto"/>
        <w:rPr>
          <w:sz w:val="20"/>
          <w:szCs w:val="20"/>
          <w:color w:val="auto"/>
        </w:rPr>
      </w:pPr>
      <w:r>
        <w:rPr>
          <w:rFonts w:ascii="Arial" w:cs="Arial" w:eastAsia="Arial" w:hAnsi="Arial"/>
          <w:sz w:val="16"/>
          <w:szCs w:val="16"/>
          <w:color w:val="auto"/>
        </w:rPr>
        <w:t>The contractual commitment amounts in the table above are associated with agreements that are enforceable and legally binding. Obligations under contracts that we can cancel without a significant penalty are not included in the table above. See the “Future minimum lease payments” table in Note 7 and “Non-cancelable Purchase Obligations” in Note 8 to our consolidated financial statements included in Part II, Item 8 of this Form 10-K for more details.</w:t>
      </w: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January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1"/>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r>
      <w:tr>
        <w:trPr>
          <w:trHeight w:val="211"/>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2"/>
              </w:rPr>
              <w:t>1,471,177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w w:val="94"/>
              </w:rPr>
              <w:t>151,892</w:t>
            </w:r>
          </w:p>
        </w:tc>
      </w:tr>
      <w:tr>
        <w:trPr>
          <w:trHeight w:val="222"/>
        </w:trPr>
        <w:tc>
          <w:tcPr>
            <w:tcW w:w="6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(2,859,097)</w:t>
            </w:r>
          </w:p>
        </w:tc>
        <w:tc>
          <w:tcPr>
            <w:tcW w:w="10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460"/>
              <w:spacing w:after="0"/>
              <w:rPr>
                <w:sz w:val="20"/>
                <w:szCs w:val="20"/>
                <w:color w:val="auto"/>
              </w:rPr>
            </w:pPr>
            <w:r>
              <w:rPr>
                <w:rFonts w:ascii="Arial" w:cs="Arial" w:eastAsia="Arial" w:hAnsi="Arial"/>
                <w:sz w:val="17"/>
                <w:szCs w:val="17"/>
                <w:color w:val="auto"/>
                <w:w w:val="94"/>
              </w:rPr>
              <w:t>(1,562,420)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center"/>
              <w:ind w:left="437"/>
              <w:spacing w:after="0"/>
              <w:rPr>
                <w:sz w:val="20"/>
                <w:szCs w:val="20"/>
                <w:color w:val="auto"/>
              </w:rPr>
            </w:pPr>
            <w:r>
              <w:rPr>
                <w:rFonts w:ascii="Arial" w:cs="Arial" w:eastAsia="Arial" w:hAnsi="Arial"/>
                <w:sz w:val="17"/>
                <w:szCs w:val="17"/>
                <w:color w:val="auto"/>
                <w:w w:val="93"/>
              </w:rPr>
              <w:t>(499,468)</w:t>
            </w:r>
          </w:p>
        </w:tc>
      </w:tr>
      <w:tr>
        <w:trPr>
          <w:trHeight w:val="222"/>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2"/>
              </w:rPr>
              <w:t>2,050,277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w w:val="94"/>
              </w:rPr>
              <w:t>615,690</w:t>
            </w: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Net cash provided by operating activities was $1,605.3 million for the fiscal year ended January 31, 2022, compared to $1,471.2 million for the fiscal year ended January 31, 2021. The increase in operating cash flow was due to an increase in net income of $703.3 million, offset by the negative impact from changes in operating assets and liabilities of $506.3 million, and a decrease in non-cash adjustments of $62.9 million, which is primarily a result of the income tax benefit from release of valuation allowance and higher gains from strategic investments, offset by higher stock-based compensation expense, higher deferred contract acquisition cost amortization due to an increase in capitalized commissions as we continue to grow and expand our customer base, and higher provision for accounts receivable allowances due to higher accounts receivable balances.</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used in investing activities of $2,859.1 million for the fiscal year ended January 31, 2022 was primarily due to net purchases of marketable securities of $2,404.8 million, purchases of strategic investments of $305.1 million, purchases of property and equipment of $132.6 million, purchases of intangible assets of $13.0 million, and cash paid for acquisition, net of cash acquired, of $3.5 million.</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used in investing activities of $1,562.4 million for the fiscal year ended January 31, 2021 was primarily due to net purchases of marketable securities of $1,438.8 million, purchases of property and equipment of $80.0 million, cash paid for acquisition, net of cash acquired, of $26.5 million, purchases of strategic investments of $13.0 million, and purchases of intangible assets of $5.8 million.</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provided by financing activities of $34.1 million for the fiscal year ended January 31, 2022 was due to proceeds from issuance of common stock pursuant to our employee stock purchase plan (“ESPP”) of $59.3 million and proceeds from the exercise of stock options of $14.4 million, offset by proceeds from international employee stock sales remitted to employees and tax authorities of $40.0 million.</w:t>
      </w:r>
    </w:p>
    <w:p>
      <w:pPr>
        <w:spacing w:after="0" w:line="6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Net cash provided by financing activities of $2,050.3 million for the fiscal year ended January 31, 2021 was due to proceeds from our follow-on offering, net of underwriting discounts and commissions and other offering costs, of $1,979.2 million, proceeds from issuance of common stock pursuant to our ESPP of $38.4 million, proceeds from the exercise of stock options of $28.6 million, and proceeds from international employee stock sales to be remitted to employees and tax authorities of $4.1 million.</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a discussion of the fiscal year ended January 31, 2020, please refer to Part II, Item 7, “Management's Discussion and Analysis of Financial Condition and Results of Operations” in our Annual Report on Form 10-K for the fiscal year ended January 31,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February 2022, our board of directors authorized a stock repurchase program of up to $1.0 billion of our Class A common, which expires in February 2024. Repurchases of our Class A common stock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timing and the amount of any repurchased Class A common stock will be determined by our management based on its evaluation of market conditions and other factors, and the repurchase program will be funded using our working capital. The program may be modified, suspended or discontinued at any time.</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March 6, 2022, $997.1 million of the repurchase authorization remained available.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do not have any off-balance sheet arrangements as defined in Item 303(a)(4)(ii) of Regulation S-K promulgated by the SEC under the Securities Act.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believe that of our significant accounting policies, which are described in Note 1 “Summary of Business and Significant Accounting Policies” to our consolidated financial statements, the following critical estimates involve a greater degree of judgment and complexity.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derive our revenue primarily from subscription agreements with customers for access to our unified communications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to Obtain a Contract</w:t>
      </w:r>
    </w:p>
    <w:p>
      <w:pPr>
        <w:spacing w:after="0" w:line="118"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3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Sales commissions paid upon the initial acquisition of a customer contract are amortized over an estimated period of benefit of three years, which is typically greater than the contractual terms of the customer contracts.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platform and related significant features. We do not pay sales commissions upon contract renewal. Amortization is recognized on a straight-line basis commensurate with the pattern of revenue recognition.</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11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and supportable forecasts of future economic conditions to inform adjustments to historical loss data. We reassess the adequacy of the allowance for credit losses each reporting period.</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Business Combinations and Valuation of Goodwill and Intangible Assets</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8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Goodwill amounts are not amortized, but rather tested for impairment at least annually, in the fourth quarter of each fiscal year, or more often if circumstances indicate that the carrying value may not be recoverable. As of January 31, 2022, no impairment of goodwill has been identified.</w:t>
      </w:r>
    </w:p>
    <w:p>
      <w:pPr>
        <w:spacing w:after="0" w:line="54"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Employee Stock Purchase Plan Valuation</w:t>
      </w:r>
    </w:p>
    <w:p>
      <w:pPr>
        <w:spacing w:after="0" w:line="118"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account for stock-based compensation expense related to our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The related stock-based compensation expense is recognized on a straight-line basis over the term of each ESPP offering period, which is generally two years. We account for modifications to employee contributions as they occur.</w:t>
      </w:r>
    </w:p>
    <w:p>
      <w:pPr>
        <w:spacing w:after="0" w:line="4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use of the Black-Scholes option-pricing model requires the input of subjective assumptions. If factors change and different assumptions are used, our stock-based compensation expense could be materially different for the current period and in the future.</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assumptions and estimates used in the Black-Scholes option-pricing model are as follows:</w:t>
      </w:r>
    </w:p>
    <w:p>
      <w:pPr>
        <w:spacing w:after="0" w:line="118" w:lineRule="exact"/>
        <w:rPr>
          <w:sz w:val="20"/>
          <w:szCs w:val="20"/>
          <w:color w:val="auto"/>
        </w:rPr>
      </w:pPr>
    </w:p>
    <w:p>
      <w:pPr>
        <w:ind w:left="1100" w:hanging="625"/>
        <w:spacing w:after="0" w:line="288" w:lineRule="auto"/>
        <w:tabs>
          <w:tab w:leader="none" w:pos="10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for the expected term of the awards was based on the U.S. Treasury yield curve in effect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the grant.</w:t>
      </w:r>
    </w:p>
    <w:p>
      <w:pPr>
        <w:spacing w:after="0" w:line="53" w:lineRule="exact"/>
        <w:rPr>
          <w:rFonts w:ascii="Arial" w:cs="Arial" w:eastAsia="Arial" w:hAnsi="Arial"/>
          <w:sz w:val="17"/>
          <w:szCs w:val="17"/>
          <w:color w:val="auto"/>
        </w:rPr>
      </w:pPr>
    </w:p>
    <w:p>
      <w:pPr>
        <w:ind w:left="1100" w:hanging="625"/>
        <w:spacing w:after="0"/>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ESPP represents the period of time that purchase rights are expected to be outstanding.</w:t>
      </w:r>
    </w:p>
    <w:p>
      <w:pPr>
        <w:spacing w:after="0" w:line="118" w:lineRule="exact"/>
        <w:rPr>
          <w:rFonts w:ascii="Arial" w:cs="Arial" w:eastAsia="Arial" w:hAnsi="Arial"/>
          <w:sz w:val="17"/>
          <w:szCs w:val="17"/>
          <w:color w:val="auto"/>
        </w:rPr>
      </w:pPr>
    </w:p>
    <w:p>
      <w:pPr>
        <w:jc w:val="both"/>
        <w:ind w:left="1100" w:hanging="625"/>
        <w:spacing w:after="0" w:line="284" w:lineRule="auto"/>
        <w:tabs>
          <w:tab w:leader="none" w:pos="109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For the ESPP purchase rights granted during the fiscal year ended January 31, 2021, as we have a limited trading history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the expected volatility was estimated by taking the average historic price volatility for industry peers, consisting of several public companies in our industry which are either similar in size, stage of life cycle, or financial leverage, over a period equivalent to the expected term of the awards. For the ESPP purchase rights granted during the fiscal year ended January 31, 2022, expected volatility was determined using a combination of the implied volatility of publicly traded options in our stock and historical volatility of our stock price.</w:t>
      </w:r>
    </w:p>
    <w:p>
      <w:pPr>
        <w:spacing w:after="0" w:line="61" w:lineRule="exact"/>
        <w:rPr>
          <w:rFonts w:ascii="Arial" w:cs="Arial" w:eastAsia="Arial" w:hAnsi="Arial"/>
          <w:sz w:val="16"/>
          <w:szCs w:val="16"/>
          <w:color w:val="auto"/>
        </w:rPr>
      </w:pPr>
    </w:p>
    <w:p>
      <w:pPr>
        <w:ind w:left="1100" w:hanging="625"/>
        <w:spacing w:after="0" w:line="288" w:lineRule="auto"/>
        <w:tabs>
          <w:tab w:leader="none" w:pos="109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do not presently plan to pay cash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As a result, an expected dividend yield of zero percent was used.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Strategic Investments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Accounting for strategic investments in privately held debt and equity securities in which we do not have a controlling interest or significant influence requires us to make significant estimates and assumptions.</w:t>
      </w:r>
    </w:p>
    <w:p>
      <w:pPr>
        <w:spacing w:after="0" w:line="5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spacing w:after="0" w:line="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assess our privately held debt and equity securities strategic investment portfolio quarterly for indicators for impairment. Our impairment analysis encompasses a qualitative assessment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spacing w:after="0" w:line="5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 An immediate decrease of ten percent in enterprise value of our largest privately held equity securities held as of January 31, 2022 would not have had a material impact on the value of our investment portfolio.</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Income Taxes</w:t>
      </w:r>
    </w:p>
    <w:p>
      <w:pPr>
        <w:spacing w:after="0" w:line="11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6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Critical accounting estimates and the related assumptions are evaluated periodically as conditions warrant, and changes to such estimates are recorded as new information or changed conditions require.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See “Summary of Business and Significant Accounting Policies” in Note 1 to our consolidated financial statements included in Part II, Item 8 of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QUALITATIVE AND QUANTITATIVE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Foreign Currency and Exchange Risk</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fiscal years ended January 31, 2022, 2021, and 2020.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had cash and cash equivalents of $1.1 billion and marketable securities of $4.4 billion as of January 31, 2022. Cash and cash equivalents consist of bank deposits, money market funds, high-grade commercial paper, and agency bonds. Our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2022, 2021, and 2020.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9000" w:type="dxa"/>
            <w:vAlign w:val="bottom"/>
            <w:gridSpan w:val="9"/>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973"/>
        </w:trPr>
        <w:tc>
          <w:tcPr>
            <w:tcW w:w="900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60" w:type="dxa"/>
            <w:vAlign w:val="bottom"/>
            <w:gridSpan w:val="3"/>
          </w:tcPr>
          <w:p>
            <w:pPr>
              <w:jc w:val="center"/>
              <w:ind w:right="1400"/>
              <w:spacing w:after="0"/>
              <w:rPr>
                <w:sz w:val="20"/>
                <w:szCs w:val="20"/>
                <w:color w:val="auto"/>
              </w:rPr>
            </w:pPr>
            <w:r>
              <w:rPr>
                <w:rFonts w:ascii="Arial" w:cs="Arial" w:eastAsia="Arial" w:hAnsi="Arial"/>
                <w:sz w:val="17"/>
                <w:szCs w:val="17"/>
                <w:b w:val="1"/>
                <w:bCs w:val="1"/>
                <w:color w:val="auto"/>
              </w:rPr>
              <w:t>ZOOM VIDEO COMMUNICATIONS, INC.</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gridSpan w:val="4"/>
          </w:tcPr>
          <w:p>
            <w:pPr>
              <w:jc w:val="center"/>
              <w:ind w:right="800"/>
              <w:spacing w:after="0"/>
              <w:rPr>
                <w:sz w:val="20"/>
                <w:szCs w:val="20"/>
                <w:color w:val="auto"/>
              </w:rPr>
            </w:pPr>
            <w:r>
              <w:rPr>
                <w:rFonts w:ascii="Arial" w:cs="Arial" w:eastAsia="Arial" w:hAnsi="Arial"/>
                <w:sz w:val="17"/>
                <w:szCs w:val="17"/>
                <w:b w:val="1"/>
                <w:bCs w:val="1"/>
                <w:color w:val="auto"/>
              </w:rPr>
              <w:t>INDEX TO CONSOLIDATED 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4"/>
        </w:trPr>
        <w:tc>
          <w:tcPr>
            <w:tcW w:w="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26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76"/>
        </w:trPr>
        <w:tc>
          <w:tcPr>
            <w:tcW w:w="20" w:type="dxa"/>
            <w:vAlign w:val="bottom"/>
            <w:shd w:val="clear" w:color="auto" w:fill="CCEEFF"/>
          </w:tcPr>
          <w:p>
            <w:pPr>
              <w:spacing w:after="0"/>
              <w:rPr>
                <w:sz w:val="15"/>
                <w:szCs w:val="15"/>
                <w:color w:val="auto"/>
              </w:rPr>
            </w:pPr>
          </w:p>
        </w:tc>
        <w:tc>
          <w:tcPr>
            <w:tcW w:w="8980" w:type="dxa"/>
            <w:vAlign w:val="bottom"/>
            <w:gridSpan w:val="8"/>
            <w:shd w:val="clear" w:color="auto" w:fill="CCEEFF"/>
          </w:tcPr>
          <w:p>
            <w:pPr>
              <w:spacing w:after="0" w:line="176" w:lineRule="exact"/>
              <w:rPr>
                <w:rFonts w:ascii="Arial" w:cs="Arial" w:eastAsia="Arial" w:hAnsi="Arial"/>
                <w:sz w:val="17"/>
                <w:szCs w:val="17"/>
                <w:color w:val="0000FF"/>
              </w:rPr>
            </w:pPr>
            <w:hyperlink w:anchor="page60">
              <w:r>
                <w:rPr>
                  <w:rFonts w:ascii="Arial" w:cs="Arial" w:eastAsia="Arial" w:hAnsi="Arial"/>
                  <w:sz w:val="17"/>
                  <w:szCs w:val="17"/>
                  <w:color w:val="0000FF"/>
                </w:rPr>
                <w:t>Report of Independent Registered Public Accounting Firm</w:t>
              </w:r>
            </w:hyperlink>
          </w:p>
        </w:tc>
        <w:tc>
          <w:tcPr>
            <w:tcW w:w="1220" w:type="dxa"/>
            <w:vAlign w:val="bottom"/>
            <w:gridSpan w:val="2"/>
            <w:shd w:val="clear" w:color="auto" w:fill="CCEEFF"/>
          </w:tcPr>
          <w:p>
            <w:pPr>
              <w:jc w:val="center"/>
              <w:ind w:left="953"/>
              <w:spacing w:after="0" w:line="176" w:lineRule="exact"/>
              <w:rPr>
                <w:rFonts w:ascii="Arial" w:cs="Arial" w:eastAsia="Arial" w:hAnsi="Arial"/>
                <w:sz w:val="17"/>
                <w:szCs w:val="17"/>
                <w:color w:val="0000FF"/>
                <w:w w:val="94"/>
              </w:rPr>
            </w:pPr>
            <w:hyperlink w:anchor="page60">
              <w:r>
                <w:rPr>
                  <w:rFonts w:ascii="Arial" w:cs="Arial" w:eastAsia="Arial" w:hAnsi="Arial"/>
                  <w:sz w:val="17"/>
                  <w:szCs w:val="17"/>
                  <w:color w:val="0000FF"/>
                  <w:w w:val="94"/>
                </w:rPr>
                <w:t>60</w:t>
              </w:r>
            </w:hyperlink>
          </w:p>
        </w:tc>
        <w:tc>
          <w:tcPr>
            <w:tcW w:w="102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080" w:type="dxa"/>
            <w:vAlign w:val="bottom"/>
            <w:gridSpan w:val="6"/>
          </w:tcPr>
          <w:p>
            <w:pPr>
              <w:spacing w:after="0" w:line="183" w:lineRule="exact"/>
              <w:rPr>
                <w:rFonts w:ascii="Arial" w:cs="Arial" w:eastAsia="Arial" w:hAnsi="Arial"/>
                <w:sz w:val="17"/>
                <w:szCs w:val="17"/>
                <w:color w:val="0000FF"/>
              </w:rPr>
            </w:pPr>
            <w:hyperlink w:anchor="page62">
              <w:r>
                <w:rPr>
                  <w:rFonts w:ascii="Arial" w:cs="Arial" w:eastAsia="Arial" w:hAnsi="Arial"/>
                  <w:sz w:val="17"/>
                  <w:szCs w:val="17"/>
                  <w:color w:val="0000FF"/>
                </w:rPr>
                <w:t>Consolidated Balance Sheets</w:t>
              </w:r>
            </w:hyperlink>
          </w:p>
        </w:tc>
        <w:tc>
          <w:tcPr>
            <w:tcW w:w="4900" w:type="dxa"/>
            <w:vAlign w:val="bottom"/>
            <w:gridSpan w:val="2"/>
          </w:tcPr>
          <w:p>
            <w:pPr>
              <w:spacing w:after="0"/>
              <w:rPr>
                <w:sz w:val="15"/>
                <w:szCs w:val="15"/>
                <w:color w:val="auto"/>
              </w:rPr>
            </w:pPr>
          </w:p>
        </w:tc>
        <w:tc>
          <w:tcPr>
            <w:tcW w:w="1220" w:type="dxa"/>
            <w:vAlign w:val="bottom"/>
            <w:gridSpan w:val="2"/>
          </w:tcPr>
          <w:p>
            <w:pPr>
              <w:jc w:val="center"/>
              <w:ind w:left="953"/>
              <w:spacing w:after="0" w:line="183" w:lineRule="exact"/>
              <w:rPr>
                <w:rFonts w:ascii="Arial" w:cs="Arial" w:eastAsia="Arial" w:hAnsi="Arial"/>
                <w:sz w:val="17"/>
                <w:szCs w:val="17"/>
                <w:color w:val="0000FF"/>
                <w:w w:val="94"/>
              </w:rPr>
            </w:pPr>
            <w:hyperlink w:anchor="page62">
              <w:r>
                <w:rPr>
                  <w:rFonts w:ascii="Arial" w:cs="Arial" w:eastAsia="Arial" w:hAnsi="Arial"/>
                  <w:sz w:val="17"/>
                  <w:szCs w:val="17"/>
                  <w:color w:val="0000FF"/>
                  <w:w w:val="94"/>
                </w:rPr>
                <w:t>62</w:t>
              </w:r>
            </w:hyperlink>
          </w:p>
        </w:tc>
        <w:tc>
          <w:tcPr>
            <w:tcW w:w="10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980" w:type="dxa"/>
            <w:vAlign w:val="bottom"/>
            <w:gridSpan w:val="8"/>
            <w:shd w:val="clear" w:color="auto" w:fill="CCEEFF"/>
          </w:tcPr>
          <w:p>
            <w:pPr>
              <w:spacing w:after="0" w:line="193" w:lineRule="exact"/>
              <w:rPr>
                <w:rFonts w:ascii="Arial" w:cs="Arial" w:eastAsia="Arial" w:hAnsi="Arial"/>
                <w:sz w:val="17"/>
                <w:szCs w:val="17"/>
                <w:color w:val="0000FF"/>
              </w:rPr>
            </w:pPr>
            <w:hyperlink w:anchor="page63">
              <w:r>
                <w:rPr>
                  <w:rFonts w:ascii="Arial" w:cs="Arial" w:eastAsia="Arial" w:hAnsi="Arial"/>
                  <w:sz w:val="17"/>
                  <w:szCs w:val="17"/>
                  <w:color w:val="0000FF"/>
                </w:rPr>
                <w:t>Consolidated Statements of Operations</w:t>
              </w:r>
            </w:hyperlink>
          </w:p>
        </w:tc>
        <w:tc>
          <w:tcPr>
            <w:tcW w:w="1220" w:type="dxa"/>
            <w:vAlign w:val="bottom"/>
            <w:gridSpan w:val="2"/>
            <w:shd w:val="clear" w:color="auto" w:fill="CCEEFF"/>
          </w:tcPr>
          <w:p>
            <w:pPr>
              <w:jc w:val="center"/>
              <w:ind w:left="953"/>
              <w:spacing w:after="0" w:line="193" w:lineRule="exact"/>
              <w:rPr>
                <w:rFonts w:ascii="Arial" w:cs="Arial" w:eastAsia="Arial" w:hAnsi="Arial"/>
                <w:sz w:val="17"/>
                <w:szCs w:val="17"/>
                <w:color w:val="0000FF"/>
                <w:w w:val="94"/>
              </w:rPr>
            </w:pPr>
            <w:hyperlink w:anchor="page63">
              <w:r>
                <w:rPr>
                  <w:rFonts w:ascii="Arial" w:cs="Arial" w:eastAsia="Arial" w:hAnsi="Arial"/>
                  <w:sz w:val="17"/>
                  <w:szCs w:val="17"/>
                  <w:color w:val="0000FF"/>
                  <w:w w:val="94"/>
                </w:rPr>
                <w:t>63</w:t>
              </w:r>
            </w:hyperlink>
          </w:p>
        </w:tc>
        <w:tc>
          <w:tcPr>
            <w:tcW w:w="10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8980" w:type="dxa"/>
            <w:vAlign w:val="bottom"/>
            <w:gridSpan w:val="8"/>
          </w:tcPr>
          <w:p>
            <w:pPr>
              <w:spacing w:after="0" w:line="183" w:lineRule="exact"/>
              <w:rPr>
                <w:rFonts w:ascii="Arial" w:cs="Arial" w:eastAsia="Arial" w:hAnsi="Arial"/>
                <w:sz w:val="17"/>
                <w:szCs w:val="17"/>
                <w:color w:val="0000FF"/>
              </w:rPr>
            </w:pPr>
            <w:hyperlink w:anchor="page64">
              <w:r>
                <w:rPr>
                  <w:rFonts w:ascii="Arial" w:cs="Arial" w:eastAsia="Arial" w:hAnsi="Arial"/>
                  <w:sz w:val="17"/>
                  <w:szCs w:val="17"/>
                  <w:color w:val="0000FF"/>
                </w:rPr>
                <w:t>Consolidated Statements of Comprehensive Income</w:t>
              </w:r>
            </w:hyperlink>
          </w:p>
        </w:tc>
        <w:tc>
          <w:tcPr>
            <w:tcW w:w="1220" w:type="dxa"/>
            <w:vAlign w:val="bottom"/>
            <w:gridSpan w:val="2"/>
          </w:tcPr>
          <w:p>
            <w:pPr>
              <w:jc w:val="center"/>
              <w:ind w:left="953"/>
              <w:spacing w:after="0" w:line="183" w:lineRule="exact"/>
              <w:rPr>
                <w:rFonts w:ascii="Arial" w:cs="Arial" w:eastAsia="Arial" w:hAnsi="Arial"/>
                <w:sz w:val="17"/>
                <w:szCs w:val="17"/>
                <w:color w:val="0000FF"/>
                <w:w w:val="94"/>
              </w:rPr>
            </w:pPr>
            <w:hyperlink w:anchor="page64">
              <w:r>
                <w:rPr>
                  <w:rFonts w:ascii="Arial" w:cs="Arial" w:eastAsia="Arial" w:hAnsi="Arial"/>
                  <w:sz w:val="17"/>
                  <w:szCs w:val="17"/>
                  <w:color w:val="0000FF"/>
                  <w:w w:val="94"/>
                </w:rPr>
                <w:t>64</w:t>
              </w:r>
            </w:hyperlink>
          </w:p>
        </w:tc>
        <w:tc>
          <w:tcPr>
            <w:tcW w:w="10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380" w:type="dxa"/>
            <w:vAlign w:val="bottom"/>
            <w:gridSpan w:val="7"/>
            <w:shd w:val="clear" w:color="auto" w:fill="CCEEFF"/>
          </w:tcPr>
          <w:p>
            <w:pPr>
              <w:spacing w:after="0" w:line="193" w:lineRule="exact"/>
              <w:rPr>
                <w:rFonts w:ascii="Arial" w:cs="Arial" w:eastAsia="Arial" w:hAnsi="Arial"/>
                <w:sz w:val="17"/>
                <w:szCs w:val="17"/>
                <w:color w:val="0000FF"/>
                <w:w w:val="93"/>
              </w:rPr>
            </w:pPr>
            <w:hyperlink w:anchor="page65">
              <w:r>
                <w:rPr>
                  <w:rFonts w:ascii="Arial" w:cs="Arial" w:eastAsia="Arial" w:hAnsi="Arial"/>
                  <w:sz w:val="17"/>
                  <w:szCs w:val="17"/>
                  <w:color w:val="0000FF"/>
                  <w:w w:val="93"/>
                </w:rPr>
                <w:t>Consolidated Statements of Convertible Preferred Stock and Stockholders’ (Deficit) Equity</w:t>
              </w:r>
            </w:hyperlink>
          </w:p>
        </w:tc>
        <w:tc>
          <w:tcPr>
            <w:tcW w:w="26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953"/>
              <w:spacing w:after="0" w:line="193" w:lineRule="exact"/>
              <w:rPr>
                <w:rFonts w:ascii="Arial" w:cs="Arial" w:eastAsia="Arial" w:hAnsi="Arial"/>
                <w:sz w:val="17"/>
                <w:szCs w:val="17"/>
                <w:color w:val="0000FF"/>
                <w:w w:val="94"/>
              </w:rPr>
            </w:pPr>
            <w:hyperlink w:anchor="page65">
              <w:r>
                <w:rPr>
                  <w:rFonts w:ascii="Arial" w:cs="Arial" w:eastAsia="Arial" w:hAnsi="Arial"/>
                  <w:sz w:val="17"/>
                  <w:szCs w:val="17"/>
                  <w:color w:val="0000FF"/>
                  <w:w w:val="94"/>
                </w:rPr>
                <w:t>65</w:t>
              </w:r>
            </w:hyperlink>
          </w:p>
        </w:tc>
        <w:tc>
          <w:tcPr>
            <w:tcW w:w="10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780" w:type="dxa"/>
            <w:vAlign w:val="bottom"/>
            <w:gridSpan w:val="3"/>
          </w:tcPr>
          <w:p>
            <w:pPr>
              <w:spacing w:after="0" w:line="183" w:lineRule="exact"/>
              <w:rPr>
                <w:rFonts w:ascii="Arial" w:cs="Arial" w:eastAsia="Arial" w:hAnsi="Arial"/>
                <w:sz w:val="17"/>
                <w:szCs w:val="17"/>
                <w:color w:val="0000FF"/>
                <w:w w:val="90"/>
              </w:rPr>
            </w:pPr>
            <w:hyperlink w:anchor="page66">
              <w:r>
                <w:rPr>
                  <w:rFonts w:ascii="Arial" w:cs="Arial" w:eastAsia="Arial" w:hAnsi="Arial"/>
                  <w:sz w:val="17"/>
                  <w:szCs w:val="17"/>
                  <w:color w:val="0000FF"/>
                  <w:w w:val="90"/>
                </w:rPr>
                <w:t>Consolidated Statements of Cash Flows</w:t>
              </w:r>
            </w:hyperlink>
          </w:p>
        </w:tc>
        <w:tc>
          <w:tcPr>
            <w:tcW w:w="3600" w:type="dxa"/>
            <w:vAlign w:val="bottom"/>
            <w:gridSpan w:val="4"/>
          </w:tcPr>
          <w:p>
            <w:pPr>
              <w:spacing w:after="0"/>
              <w:rPr>
                <w:sz w:val="15"/>
                <w:szCs w:val="15"/>
                <w:color w:val="auto"/>
              </w:rPr>
            </w:pPr>
          </w:p>
        </w:tc>
        <w:tc>
          <w:tcPr>
            <w:tcW w:w="2600" w:type="dxa"/>
            <w:vAlign w:val="bottom"/>
          </w:tcPr>
          <w:p>
            <w:pPr>
              <w:spacing w:after="0"/>
              <w:rPr>
                <w:sz w:val="15"/>
                <w:szCs w:val="15"/>
                <w:color w:val="auto"/>
              </w:rPr>
            </w:pPr>
          </w:p>
        </w:tc>
        <w:tc>
          <w:tcPr>
            <w:tcW w:w="1220" w:type="dxa"/>
            <w:vAlign w:val="bottom"/>
            <w:gridSpan w:val="2"/>
          </w:tcPr>
          <w:p>
            <w:pPr>
              <w:jc w:val="center"/>
              <w:ind w:left="953"/>
              <w:spacing w:after="0" w:line="183" w:lineRule="exact"/>
              <w:rPr>
                <w:rFonts w:ascii="Arial" w:cs="Arial" w:eastAsia="Arial" w:hAnsi="Arial"/>
                <w:sz w:val="17"/>
                <w:szCs w:val="17"/>
                <w:color w:val="0000FF"/>
                <w:w w:val="94"/>
              </w:rPr>
            </w:pPr>
            <w:hyperlink w:anchor="page66">
              <w:r>
                <w:rPr>
                  <w:rFonts w:ascii="Arial" w:cs="Arial" w:eastAsia="Arial" w:hAnsi="Arial"/>
                  <w:sz w:val="17"/>
                  <w:szCs w:val="17"/>
                  <w:color w:val="0000FF"/>
                  <w:w w:val="94"/>
                </w:rPr>
                <w:t>66</w:t>
              </w:r>
            </w:hyperlink>
          </w:p>
        </w:tc>
        <w:tc>
          <w:tcPr>
            <w:tcW w:w="10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980" w:type="dxa"/>
            <w:vAlign w:val="bottom"/>
            <w:gridSpan w:val="8"/>
            <w:shd w:val="clear" w:color="auto" w:fill="CCEEFF"/>
          </w:tcPr>
          <w:p>
            <w:pPr>
              <w:spacing w:after="0" w:line="193" w:lineRule="exact"/>
              <w:rPr>
                <w:rFonts w:ascii="Arial" w:cs="Arial" w:eastAsia="Arial" w:hAnsi="Arial"/>
                <w:sz w:val="17"/>
                <w:szCs w:val="17"/>
                <w:color w:val="0000FF"/>
              </w:rPr>
            </w:pPr>
            <w:hyperlink w:anchor="page68">
              <w:r>
                <w:rPr>
                  <w:rFonts w:ascii="Arial" w:cs="Arial" w:eastAsia="Arial" w:hAnsi="Arial"/>
                  <w:sz w:val="17"/>
                  <w:szCs w:val="17"/>
                  <w:color w:val="0000FF"/>
                </w:rPr>
                <w:t>Notes to Consolidated Financial Statements</w:t>
              </w:r>
            </w:hyperlink>
          </w:p>
        </w:tc>
        <w:tc>
          <w:tcPr>
            <w:tcW w:w="1220" w:type="dxa"/>
            <w:vAlign w:val="bottom"/>
            <w:gridSpan w:val="2"/>
            <w:shd w:val="clear" w:color="auto" w:fill="CCEEFF"/>
          </w:tcPr>
          <w:p>
            <w:pPr>
              <w:jc w:val="center"/>
              <w:ind w:left="953"/>
              <w:spacing w:after="0" w:line="193" w:lineRule="exact"/>
              <w:rPr>
                <w:rFonts w:ascii="Arial" w:cs="Arial" w:eastAsia="Arial" w:hAnsi="Arial"/>
                <w:sz w:val="17"/>
                <w:szCs w:val="17"/>
                <w:color w:val="0000FF"/>
                <w:w w:val="94"/>
              </w:rPr>
            </w:pPr>
            <w:hyperlink w:anchor="page68">
              <w:r>
                <w:rPr>
                  <w:rFonts w:ascii="Arial" w:cs="Arial" w:eastAsia="Arial" w:hAnsi="Arial"/>
                  <w:sz w:val="17"/>
                  <w:szCs w:val="17"/>
                  <w:color w:val="0000FF"/>
                  <w:w w:val="94"/>
                </w:rPr>
                <w:t>68</w:t>
              </w:r>
            </w:hyperlink>
          </w:p>
        </w:tc>
        <w:tc>
          <w:tcPr>
            <w:tcW w:w="10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Consolidated Financial Statements and Internal Control Over Financial Reporting</w:t>
      </w:r>
    </w:p>
    <w:p>
      <w:pPr>
        <w:spacing w:after="0" w:line="249" w:lineRule="exact"/>
        <w:rPr>
          <w:sz w:val="20"/>
          <w:szCs w:val="20"/>
          <w:color w:val="auto"/>
        </w:rPr>
      </w:pPr>
    </w:p>
    <w:p>
      <w:pPr>
        <w:jc w:val="both"/>
        <w:ind w:firstLine="627"/>
        <w:spacing w:after="0" w:line="247" w:lineRule="auto"/>
        <w:rPr>
          <w:sz w:val="20"/>
          <w:szCs w:val="20"/>
          <w:color w:val="auto"/>
        </w:rPr>
      </w:pPr>
      <w:r>
        <w:rPr>
          <w:rFonts w:ascii="Arial" w:cs="Arial" w:eastAsia="Arial" w:hAnsi="Arial"/>
          <w:sz w:val="17"/>
          <w:szCs w:val="17"/>
          <w:color w:val="auto"/>
        </w:rPr>
        <w:t xml:space="preserve">We have audited the accompanying consolidated balance sheets of Zoom Video Communications, Inc. and subsidiaries (the Company) as of January 31, 2022 and 2021, the related consolidated statements of operations, comprehensive income, convertible preferred stock and stockholders’ (deficit) equity, and cash flows for each of the years in the three-year period ended January 31, 2022, and the related notes and financial statement schedule II: valuation and qualifying accounts (collectively, the consolidated financial statements). We also have audited the Company’s internal control over financial reporting as of January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4" w:lineRule="exact"/>
        <w:rPr>
          <w:sz w:val="20"/>
          <w:szCs w:val="20"/>
          <w:color w:val="auto"/>
        </w:rPr>
      </w:pPr>
    </w:p>
    <w:p>
      <w:pPr>
        <w:jc w:val="both"/>
        <w:ind w:firstLine="627"/>
        <w:spacing w:after="0" w:line="248"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January 31, 2022 and 2021, and the results of its operations and its cash flows for each of the years in the three-year period ended January 31, 2022, in conformity with U.S. generally accepted accounting principles. Also in our opinion, the Company maintained, in all material respects, effective internal control over financial reporting as of January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36" w:lineRule="exact"/>
        <w:rPr>
          <w:sz w:val="20"/>
          <w:szCs w:val="20"/>
          <w:color w:val="auto"/>
        </w:rPr>
      </w:pPr>
    </w:p>
    <w:p>
      <w:pPr>
        <w:jc w:val="both"/>
        <w:ind w:firstLine="627"/>
        <w:spacing w:after="0" w:line="265"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49"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w:t>
      </w:r>
    </w:p>
    <w:p>
      <w:pPr>
        <w:spacing w:after="0" w:line="249" w:lineRule="exact"/>
        <w:rPr>
          <w:sz w:val="20"/>
          <w:szCs w:val="20"/>
          <w:color w:val="auto"/>
        </w:rPr>
      </w:pPr>
    </w:p>
    <w:p>
      <w:pPr>
        <w:jc w:val="both"/>
        <w:ind w:firstLine="627"/>
        <w:spacing w:after="0" w:line="24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i w:val="1"/>
          <w:iCs w:val="1"/>
          <w:u w:val="single" w:color="auto"/>
          <w:color w:val="auto"/>
        </w:rPr>
        <w:t>Sufficiency of Audit Evidence Over Revenue</w:t>
      </w:r>
    </w:p>
    <w:p>
      <w:pPr>
        <w:spacing w:after="0" w:line="249" w:lineRule="exact"/>
        <w:rPr>
          <w:sz w:val="20"/>
          <w:szCs w:val="20"/>
          <w:color w:val="auto"/>
        </w:rPr>
      </w:pPr>
    </w:p>
    <w:p>
      <w:pPr>
        <w:jc w:val="both"/>
        <w:ind w:left="640" w:firstLine="627"/>
        <w:spacing w:after="0" w:line="272" w:lineRule="auto"/>
        <w:rPr>
          <w:sz w:val="20"/>
          <w:szCs w:val="20"/>
          <w:color w:val="auto"/>
        </w:rPr>
      </w:pPr>
      <w:r>
        <w:rPr>
          <w:rFonts w:ascii="Arial" w:cs="Arial" w:eastAsia="Arial" w:hAnsi="Arial"/>
          <w:sz w:val="17"/>
          <w:szCs w:val="17"/>
          <w:color w:val="auto"/>
        </w:rPr>
        <w:t>As discussed in Notes 1 and 2 to the consolidated financial statements, the Company’s revenue is principally derived from the sale of subscriptions to the Company’s video communications platform. The Company recorded $4,099 million of revenue for the year ended January 31, 2022.</w:t>
      </w:r>
    </w:p>
    <w:p>
      <w:pPr>
        <w:spacing w:after="0" w:line="198" w:lineRule="exact"/>
        <w:rPr>
          <w:sz w:val="20"/>
          <w:szCs w:val="20"/>
          <w:color w:val="auto"/>
        </w:rPr>
      </w:pPr>
    </w:p>
    <w:p>
      <w:pPr>
        <w:jc w:val="both"/>
        <w:ind w:left="640" w:firstLine="627"/>
        <w:spacing w:after="0" w:line="267" w:lineRule="auto"/>
        <w:rPr>
          <w:sz w:val="20"/>
          <w:szCs w:val="20"/>
          <w:color w:val="auto"/>
        </w:rPr>
      </w:pPr>
      <w:r>
        <w:rPr>
          <w:rFonts w:ascii="Arial" w:cs="Arial" w:eastAsia="Arial" w:hAnsi="Arial"/>
          <w:sz w:val="17"/>
          <w:szCs w:val="17"/>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202" w:lineRule="exact"/>
        <w:rPr>
          <w:sz w:val="20"/>
          <w:szCs w:val="20"/>
          <w:color w:val="auto"/>
        </w:rPr>
      </w:pPr>
    </w:p>
    <w:p>
      <w:pPr>
        <w:jc w:val="both"/>
        <w:ind w:left="640" w:firstLine="627"/>
        <w:spacing w:after="0" w:line="299" w:lineRule="auto"/>
        <w:rPr>
          <w:sz w:val="20"/>
          <w:szCs w:val="20"/>
          <w:color w:val="auto"/>
        </w:rPr>
      </w:pPr>
      <w:r>
        <w:rPr>
          <w:rFonts w:ascii="Arial" w:cs="Arial" w:eastAsia="Arial" w:hAnsi="Arial"/>
          <w:sz w:val="15"/>
          <w:szCs w:val="15"/>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7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1,062,820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2,240,303</w:t>
            </w:r>
          </w:p>
        </w:tc>
        <w:tc>
          <w:tcPr>
            <w:tcW w:w="0" w:type="dxa"/>
            <w:vAlign w:val="bottom"/>
          </w:tcPr>
          <w:p>
            <w:pPr>
              <w:spacing w:after="0"/>
              <w:rPr>
                <w:sz w:val="1"/>
                <w:szCs w:val="1"/>
                <w:color w:val="auto"/>
              </w:rPr>
            </w:pPr>
          </w:p>
        </w:tc>
      </w:tr>
      <w:tr>
        <w:trPr>
          <w:trHeight w:val="206"/>
        </w:trPr>
        <w:tc>
          <w:tcPr>
            <w:tcW w:w="780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4,356,446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2,004,410</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Accounts receivable, net of allowances of $24,696 and $36,844 as of January 31, 2022 and 2021, respectively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294,703</w:t>
            </w:r>
          </w:p>
        </w:tc>
        <w:tc>
          <w:tcPr>
            <w:tcW w:w="0" w:type="dxa"/>
            <w:vAlign w:val="bottom"/>
          </w:tcPr>
          <w:p>
            <w:pPr>
              <w:spacing w:after="0"/>
              <w:rPr>
                <w:sz w:val="1"/>
                <w:szCs w:val="1"/>
                <w:color w:val="auto"/>
              </w:rPr>
            </w:pPr>
          </w:p>
        </w:tc>
      </w:tr>
      <w:tr>
        <w:trPr>
          <w:trHeight w:val="206"/>
        </w:trPr>
        <w:tc>
          <w:tcPr>
            <w:tcW w:w="7800" w:type="dxa"/>
            <w:vAlign w:val="bottom"/>
          </w:tcPr>
          <w:p>
            <w:pPr>
              <w:ind w:left="200"/>
              <w:spacing w:after="0"/>
              <w:rPr>
                <w:sz w:val="20"/>
                <w:szCs w:val="20"/>
                <w:color w:val="auto"/>
              </w:rPr>
            </w:pPr>
            <w:r>
              <w:rPr>
                <w:rFonts w:ascii="Arial" w:cs="Arial" w:eastAsia="Arial" w:hAnsi="Arial"/>
                <w:sz w:val="16"/>
                <w:szCs w:val="16"/>
                <w:color w:val="auto"/>
              </w:rPr>
              <w:t>Deferred contract acquisition costs, 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199,266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136,630</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145,602</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116,819</w:t>
            </w:r>
          </w:p>
        </w:tc>
        <w:tc>
          <w:tcPr>
            <w:tcW w:w="0" w:type="dxa"/>
            <w:vAlign w:val="bottom"/>
          </w:tcPr>
          <w:p>
            <w:pPr>
              <w:spacing w:after="0"/>
              <w:rPr>
                <w:sz w:val="1"/>
                <w:szCs w:val="1"/>
                <w:color w:val="auto"/>
              </w:rPr>
            </w:pPr>
          </w:p>
        </w:tc>
      </w:tr>
      <w:tr>
        <w:trPr>
          <w:trHeight w:val="199"/>
        </w:trPr>
        <w:tc>
          <w:tcPr>
            <w:tcW w:w="7800" w:type="dxa"/>
            <w:vAlign w:val="bottom"/>
          </w:tcPr>
          <w:p>
            <w:pPr>
              <w:ind w:left="440"/>
              <w:spacing w:after="0" w:line="183" w:lineRule="exact"/>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6,183,807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4,792,865</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Deferred contract acquisition costs, noncurrent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157,262</w:t>
            </w: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222,354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149,924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97,649</w:t>
            </w: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Strategic investments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367,814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18,668</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24,340</w:t>
            </w: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382,296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Other assets, noncurrent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106,761</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55,766</w:t>
            </w:r>
          </w:p>
        </w:tc>
        <w:tc>
          <w:tcPr>
            <w:tcW w:w="0" w:type="dxa"/>
            <w:vAlign w:val="bottom"/>
          </w:tcPr>
          <w:p>
            <w:pPr>
              <w:spacing w:after="0"/>
              <w:rPr>
                <w:sz w:val="1"/>
                <w:szCs w:val="1"/>
                <w:color w:val="auto"/>
              </w:rPr>
            </w:pPr>
          </w:p>
        </w:tc>
      </w:tr>
      <w:tr>
        <w:trPr>
          <w:trHeight w:val="199"/>
        </w:trPr>
        <w:tc>
          <w:tcPr>
            <w:tcW w:w="78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7,551,318</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5,297,993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206"/>
        </w:trPr>
        <w:tc>
          <w:tcPr>
            <w:tcW w:w="78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430,415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393,018</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 current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1,141,435</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858,284</w:t>
            </w:r>
          </w:p>
        </w:tc>
        <w:tc>
          <w:tcPr>
            <w:tcW w:w="0" w:type="dxa"/>
            <w:vAlign w:val="bottom"/>
          </w:tcPr>
          <w:p>
            <w:pPr>
              <w:spacing w:after="0"/>
              <w:rPr>
                <w:sz w:val="1"/>
                <w:szCs w:val="1"/>
                <w:color w:val="auto"/>
              </w:rPr>
            </w:pPr>
          </w:p>
        </w:tc>
      </w:tr>
      <w:tr>
        <w:trPr>
          <w:trHeight w:val="199"/>
        </w:trPr>
        <w:tc>
          <w:tcPr>
            <w:tcW w:w="7800" w:type="dxa"/>
            <w:vAlign w:val="bottom"/>
          </w:tcPr>
          <w:p>
            <w:pPr>
              <w:ind w:left="440"/>
              <w:spacing w:after="0" w:line="183" w:lineRule="exact"/>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1,579,691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1,259,966</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25,211</w:t>
            </w: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85,018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90,415</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noncurrent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68,110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61,634</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1,771,300</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1,437,226</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0" w:type="dxa"/>
            <w:vAlign w:val="bottom"/>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86"/>
              </w:rPr>
              <w:t>Preferred stock, $0.001 par value per share, 200,000,000 shares authorized as of January 31, 2022 and 2021; zero shares</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issued and outstanding as of January 31, 2022 and 2021</w:t>
            </w:r>
          </w:p>
        </w:tc>
        <w:tc>
          <w:tcPr>
            <w:tcW w:w="3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800" w:type="dxa"/>
            <w:vAlign w:val="bottom"/>
          </w:tcPr>
          <w:p>
            <w:pPr>
              <w:ind w:left="220"/>
              <w:spacing w:after="0" w:line="160" w:lineRule="exact"/>
              <w:rPr>
                <w:sz w:val="20"/>
                <w:szCs w:val="20"/>
                <w:color w:val="auto"/>
              </w:rPr>
            </w:pPr>
            <w:r>
              <w:rPr>
                <w:rFonts w:ascii="Arial" w:cs="Arial" w:eastAsia="Arial" w:hAnsi="Arial"/>
                <w:sz w:val="16"/>
                <w:szCs w:val="16"/>
                <w:color w:val="auto"/>
                <w:w w:val="88"/>
              </w:rPr>
              <w:t>Common stock, $0.001 par value per share, 2,000,000,000 Class A shares authorized as of January 31, 2022 and 2021;</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220"/>
              <w:spacing w:after="0" w:line="157" w:lineRule="exact"/>
              <w:rPr>
                <w:sz w:val="20"/>
                <w:szCs w:val="20"/>
                <w:color w:val="auto"/>
              </w:rPr>
            </w:pPr>
            <w:r>
              <w:rPr>
                <w:rFonts w:ascii="Arial" w:cs="Arial" w:eastAsia="Arial" w:hAnsi="Arial"/>
                <w:sz w:val="16"/>
                <w:szCs w:val="16"/>
                <w:color w:val="auto"/>
                <w:w w:val="87"/>
              </w:rPr>
              <w:t>247,044,454 and 215,737,924 shares issued and outstanding as of January 31, 2022 and 2021, respectively; 300,000,000</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tcPr>
          <w:p>
            <w:pPr>
              <w:ind w:left="220"/>
              <w:spacing w:after="0" w:line="157" w:lineRule="exact"/>
              <w:rPr>
                <w:sz w:val="20"/>
                <w:szCs w:val="20"/>
                <w:color w:val="auto"/>
              </w:rPr>
            </w:pPr>
            <w:r>
              <w:rPr>
                <w:rFonts w:ascii="Arial" w:cs="Arial" w:eastAsia="Arial" w:hAnsi="Arial"/>
                <w:sz w:val="16"/>
                <w:szCs w:val="16"/>
                <w:color w:val="auto"/>
                <w:w w:val="86"/>
              </w:rPr>
              <w:t>Class B shares authorized as of January 31, 2022 and 2021; 51,993,351 and 77,811,299 shares issued and outstanding as</w:t>
            </w: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3"/>
        </w:trPr>
        <w:tc>
          <w:tcPr>
            <w:tcW w:w="7800" w:type="dxa"/>
            <w:vAlign w:val="bottom"/>
          </w:tcPr>
          <w:p>
            <w:pPr>
              <w:ind w:left="220"/>
              <w:spacing w:after="0"/>
              <w:rPr>
                <w:sz w:val="20"/>
                <w:szCs w:val="20"/>
                <w:color w:val="auto"/>
              </w:rPr>
            </w:pPr>
            <w:r>
              <w:rPr>
                <w:rFonts w:ascii="Arial" w:cs="Arial" w:eastAsia="Arial" w:hAnsi="Arial"/>
                <w:sz w:val="16"/>
                <w:szCs w:val="16"/>
                <w:color w:val="auto"/>
              </w:rPr>
              <w:t>of January 31, 2022 and 2021, respectively</w:t>
            </w: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3,749,514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3,187,168</w:t>
            </w:r>
          </w:p>
        </w:tc>
        <w:tc>
          <w:tcPr>
            <w:tcW w:w="0" w:type="dxa"/>
            <w:vAlign w:val="bottom"/>
          </w:tcPr>
          <w:p>
            <w:pPr>
              <w:spacing w:after="0"/>
              <w:rPr>
                <w:sz w:val="1"/>
                <w:szCs w:val="1"/>
                <w:color w:val="auto"/>
              </w:rPr>
            </w:pPr>
          </w:p>
        </w:tc>
      </w:tr>
      <w:tr>
        <w:trPr>
          <w:trHeight w:val="206"/>
        </w:trPr>
        <w:tc>
          <w:tcPr>
            <w:tcW w:w="7800" w:type="dxa"/>
            <w:vAlign w:val="bottom"/>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2,048,107</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672,468</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5,780,018</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3,860,767</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7,551,318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5,297,993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2,651,368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622,658</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1,054,554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821,989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115,396</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3,045,310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1,829,379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507,262</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67,079</w:t>
            </w:r>
          </w:p>
        </w:tc>
        <w:tc>
          <w:tcPr>
            <w:tcW w:w="0" w:type="dxa"/>
            <w:vAlign w:val="bottom"/>
          </w:tcPr>
          <w:p>
            <w:pPr>
              <w:spacing w:after="0"/>
              <w:rPr>
                <w:sz w:val="1"/>
                <w:szCs w:val="1"/>
                <w:color w:val="auto"/>
              </w:rPr>
            </w:pPr>
          </w:p>
        </w:tc>
      </w:tr>
      <w:tr>
        <w:trPr>
          <w:trHeight w:val="222"/>
        </w:trPr>
        <w:tc>
          <w:tcPr>
            <w:tcW w:w="57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1,135,959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684,904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340,646</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482,770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86,841</w:t>
            </w:r>
          </w:p>
        </w:tc>
        <w:tc>
          <w:tcPr>
            <w:tcW w:w="0" w:type="dxa"/>
            <w:vAlign w:val="bottom"/>
          </w:tcPr>
          <w:p>
            <w:pPr>
              <w:spacing w:after="0"/>
              <w:rPr>
                <w:sz w:val="1"/>
                <w:szCs w:val="1"/>
                <w:color w:val="auto"/>
              </w:rPr>
            </w:pPr>
          </w:p>
        </w:tc>
      </w:tr>
      <w:tr>
        <w:trPr>
          <w:trHeight w:val="215"/>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1,981,719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1,169,531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494,566</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659,848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12,696</w:t>
            </w:r>
          </w:p>
        </w:tc>
        <w:tc>
          <w:tcPr>
            <w:tcW w:w="0" w:type="dxa"/>
            <w:vAlign w:val="bottom"/>
          </w:tcPr>
          <w:p>
            <w:pPr>
              <w:spacing w:after="0"/>
              <w:rPr>
                <w:sz w:val="1"/>
                <w:szCs w:val="1"/>
                <w:color w:val="auto"/>
              </w:rPr>
            </w:pPr>
          </w:p>
        </w:tc>
      </w:tr>
      <w:tr>
        <w:trPr>
          <w:trHeight w:val="222"/>
        </w:trPr>
        <w:tc>
          <w:tcPr>
            <w:tcW w:w="5760" w:type="dxa"/>
            <w:vAlign w:val="bottom"/>
          </w:tcPr>
          <w:p>
            <w:pPr>
              <w:ind w:left="20"/>
              <w:spacing w:after="0"/>
              <w:rPr>
                <w:sz w:val="20"/>
                <w:szCs w:val="20"/>
                <w:color w:val="auto"/>
              </w:rPr>
            </w:pPr>
            <w:r>
              <w:rPr>
                <w:rFonts w:ascii="Arial" w:cs="Arial" w:eastAsia="Arial" w:hAnsi="Arial"/>
                <w:sz w:val="17"/>
                <w:szCs w:val="17"/>
                <w:color w:val="auto"/>
              </w:rPr>
              <w:t>Gains on strategic investments,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43,761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2,538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13,666</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7"/>
                <w:szCs w:val="17"/>
                <w:color w:val="auto"/>
              </w:rPr>
              <w:t>Income before (benefit from) provision for income taxes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1,101,632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678,034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26,362</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1,375,639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672,316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25,305</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1,375,057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671,527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21,750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 per share attributable to common stockholders: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7"/>
                <w:szCs w:val="17"/>
                <w:color w:val="auto"/>
              </w:rPr>
              <w:t>Basic</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7"/>
                <w:szCs w:val="17"/>
                <w:color w:val="auto"/>
                <w:w w:val="93"/>
              </w:rPr>
              <w:t>Weighted-average shares used in computing net income per share attributable to</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760" w:type="dxa"/>
            <w:vAlign w:val="bottom"/>
          </w:tcPr>
          <w:p>
            <w:pPr>
              <w:ind w:left="20"/>
              <w:spacing w:after="0"/>
              <w:rPr>
                <w:sz w:val="20"/>
                <w:szCs w:val="20"/>
                <w:color w:val="auto"/>
              </w:rPr>
            </w:pPr>
            <w:r>
              <w:rPr>
                <w:rFonts w:ascii="Arial" w:cs="Arial" w:eastAsia="Arial" w:hAnsi="Arial"/>
                <w:sz w:val="17"/>
                <w:szCs w:val="17"/>
                <w:color w:val="auto"/>
              </w:rPr>
              <w:t>common stockholders: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296,334,894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283,853,654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233,641,336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7"/>
                <w:szCs w:val="17"/>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305,826,505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298,127,669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254,298,014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1"/>
        </w:trPr>
        <w:tc>
          <w:tcPr>
            <w:tcW w:w="57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672,316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25,305</w:t>
            </w:r>
          </w:p>
        </w:tc>
      </w:tr>
      <w:tr>
        <w:trPr>
          <w:trHeight w:val="222"/>
        </w:trPr>
        <w:tc>
          <w:tcPr>
            <w:tcW w:w="576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2"/>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Unrealized (loss) gain on available-for-sale marketable securities, net of tax</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215"/>
        </w:trPr>
        <w:tc>
          <w:tcPr>
            <w:tcW w:w="57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1,356,898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672,346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26,249</w:t>
            </w:r>
          </w:p>
        </w:tc>
      </w:tr>
      <w:tr>
        <w:trPr>
          <w:trHeight w:val="20"/>
        </w:trPr>
        <w:tc>
          <w:tcPr>
            <w:tcW w:w="5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 AND STOCKHOLDERS’ (DEFICIT)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00" w:type="dxa"/>
            <w:vAlign w:val="bottom"/>
          </w:tcPr>
          <w:p>
            <w:pPr>
              <w:spacing w:after="0"/>
              <w:rPr>
                <w:sz w:val="15"/>
                <w:szCs w:val="15"/>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00"/>
              <w:spacing w:after="0" w:line="131"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4"/>
                <w:szCs w:val="4"/>
                <w:color w:val="auto"/>
              </w:rPr>
            </w:pPr>
          </w:p>
        </w:tc>
        <w:tc>
          <w:tcPr>
            <w:tcW w:w="1080" w:type="dxa"/>
            <w:vAlign w:val="bottom"/>
            <w:vMerge w:val="restart"/>
          </w:tcPr>
          <w:p>
            <w:pPr>
              <w:jc w:val="center"/>
              <w:ind w:right="31"/>
              <w:spacing w:after="0" w:line="13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8"/>
        </w:trPr>
        <w:tc>
          <w:tcPr>
            <w:tcW w:w="2300" w:type="dxa"/>
            <w:vAlign w:val="bottom"/>
          </w:tcPr>
          <w:p>
            <w:pPr>
              <w:spacing w:after="0"/>
              <w:rPr>
                <w:sz w:val="6"/>
                <w:szCs w:val="6"/>
                <w:color w:val="auto"/>
              </w:rPr>
            </w:pPr>
          </w:p>
        </w:tc>
        <w:tc>
          <w:tcPr>
            <w:tcW w:w="210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Borders>
              <w:right w:val="single" w:sz="8" w:color="auto"/>
            </w:tcBorders>
            <w:vMerge w:val="restart"/>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300" w:type="dxa"/>
            <w:vAlign w:val="bottom"/>
          </w:tcPr>
          <w:p>
            <w:pPr>
              <w:spacing w:after="0"/>
              <w:rPr>
                <w:sz w:val="9"/>
                <w:szCs w:val="9"/>
                <w:color w:val="auto"/>
              </w:rPr>
            </w:pPr>
          </w:p>
        </w:tc>
        <w:tc>
          <w:tcPr>
            <w:tcW w:w="2100" w:type="dxa"/>
            <w:vAlign w:val="bottom"/>
            <w:tcBorders>
              <w:bottom w:val="single" w:sz="8" w:color="auto"/>
            </w:tcBorders>
            <w:gridSpan w:val="4"/>
            <w:vMerge w:val="continue"/>
          </w:tcPr>
          <w:p>
            <w:pPr>
              <w:spacing w:after="0"/>
              <w:rPr>
                <w:sz w:val="9"/>
                <w:szCs w:val="9"/>
                <w:color w:val="auto"/>
              </w:rPr>
            </w:pPr>
          </w:p>
        </w:tc>
        <w:tc>
          <w:tcPr>
            <w:tcW w:w="14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2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Comprehensive</w:t>
            </w:r>
          </w:p>
        </w:tc>
        <w:tc>
          <w:tcPr>
            <w:tcW w:w="1200" w:type="dxa"/>
            <w:vAlign w:val="bottom"/>
            <w:gridSpan w:val="3"/>
          </w:tcPr>
          <w:p>
            <w:pPr>
              <w:jc w:val="center"/>
              <w:ind w:right="100"/>
              <w:spacing w:after="0" w:line="105" w:lineRule="exact"/>
              <w:rPr>
                <w:sz w:val="20"/>
                <w:szCs w:val="20"/>
                <w:color w:val="auto"/>
              </w:rPr>
            </w:pPr>
            <w:r>
              <w:rPr>
                <w:rFonts w:ascii="Arial" w:cs="Arial" w:eastAsia="Arial" w:hAnsi="Arial"/>
                <w:sz w:val="12"/>
                <w:szCs w:val="12"/>
                <w:b w:val="1"/>
                <w:bCs w:val="1"/>
                <w:color w:val="auto"/>
              </w:rPr>
              <w:t>Deficit) Retained</w:t>
            </w:r>
          </w:p>
        </w:tc>
        <w:tc>
          <w:tcPr>
            <w:tcW w:w="100" w:type="dxa"/>
            <w:vAlign w:val="bottom"/>
          </w:tcPr>
          <w:p>
            <w:pPr>
              <w:spacing w:after="0"/>
              <w:rPr>
                <w:sz w:val="9"/>
                <w:szCs w:val="9"/>
                <w:color w:val="auto"/>
              </w:rPr>
            </w:pPr>
          </w:p>
        </w:tc>
        <w:tc>
          <w:tcPr>
            <w:tcW w:w="1080" w:type="dxa"/>
            <w:vAlign w:val="bottom"/>
          </w:tcPr>
          <w:p>
            <w:pPr>
              <w:jc w:val="center"/>
              <w:ind w:right="31"/>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(Loss) Income</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6"/>
                <w:szCs w:val="16"/>
                <w:color w:val="auto"/>
              </w:rPr>
            </w:pPr>
          </w:p>
        </w:tc>
        <w:tc>
          <w:tcPr>
            <w:tcW w:w="1080" w:type="dxa"/>
            <w:vAlign w:val="bottom"/>
          </w:tcPr>
          <w:p>
            <w:pPr>
              <w:jc w:val="center"/>
              <w:ind w:right="31"/>
              <w:spacing w:after="0"/>
              <w:rPr>
                <w:sz w:val="20"/>
                <w:szCs w:val="20"/>
                <w:color w:val="auto"/>
              </w:rPr>
            </w:pPr>
            <w:r>
              <w:rPr>
                <w:rFonts w:ascii="Arial" w:cs="Arial" w:eastAsia="Arial" w:hAnsi="Arial"/>
                <w:sz w:val="14"/>
                <w:szCs w:val="14"/>
                <w:b w:val="1"/>
                <w:bCs w:val="1"/>
                <w:color w:val="auto"/>
                <w:w w:val="95"/>
              </w:rPr>
              <w:t>(Deficit) Equity</w:t>
            </w:r>
          </w:p>
        </w:tc>
        <w:tc>
          <w:tcPr>
            <w:tcW w:w="0" w:type="dxa"/>
            <w:vAlign w:val="bottom"/>
          </w:tcPr>
          <w:p>
            <w:pPr>
              <w:spacing w:after="0"/>
              <w:rPr>
                <w:sz w:val="1"/>
                <w:szCs w:val="1"/>
                <w:color w:val="auto"/>
              </w:rPr>
            </w:pPr>
          </w:p>
        </w:tc>
      </w:tr>
      <w:tr>
        <w:trPr>
          <w:trHeight w:val="17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159,552</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90,327,435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rPr>
              <w:t>Conversion of convertible preferred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rPr>
              <w:t>stock to common stock upon initial</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(159,552)</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152,665,804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159,399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public offering</w:t>
            </w: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Conversion of convertible promissory</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4"/>
              </w:rPr>
              <w:t>notes and accrued interest to common</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426,223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15,344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15,344</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upon initial public offering</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stock upon initial</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7"/>
              </w:rPr>
              <w:t>public offering and private placement,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rPr>
              <w:t>net of underwriting discounts and</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15,819,646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541,483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541,499</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w w:val="97"/>
              </w:rPr>
              <w:t>commissions and other offering costs</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common stock upon</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exercise of stock options, net of</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7"/>
              </w:rPr>
              <w:t>repurchases and release of restricted</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18,501,767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9,771</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2"/>
              </w:rPr>
              <w:t>Issuance of common stock reserved for</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charitable donations</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common stock for</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490,268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15,482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15,482</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73,485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73,485</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25,305</w:t>
            </w:r>
          </w:p>
        </w:tc>
        <w:tc>
          <w:tcPr>
            <w:tcW w:w="0" w:type="dxa"/>
            <w:vAlign w:val="bottom"/>
          </w:tcPr>
          <w:p>
            <w:pPr>
              <w:spacing w:after="0"/>
              <w:rPr>
                <w:sz w:val="1"/>
                <w:szCs w:val="1"/>
                <w:color w:val="auto"/>
              </w:rPr>
            </w:pPr>
          </w:p>
        </w:tc>
      </w:tr>
      <w:tr>
        <w:trPr>
          <w:trHeight w:val="178"/>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278,731,143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832,705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833,943</w:t>
            </w: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2"/>
              </w:rPr>
              <w:t>Issuance of common stock upon follow-</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8"/>
              </w:rPr>
              <w:t>on public offering, net of underwriting</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6"/>
              </w:rPr>
              <w:t>discounts and commissions and other</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5,882,353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1,979,538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1,979,544</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offering costs</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common stock upon</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7,378,477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29,107</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0"/>
              </w:rPr>
              <w:t>Issuance of common stock upon release</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633,697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of restricted stock units</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Charitable donation of 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23,312</w:t>
            </w: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rPr>
              <w:t>Issuance of common stock for</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923,553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38,432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38,433</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284,081</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672,316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672,316</w:t>
            </w:r>
          </w:p>
        </w:tc>
        <w:tc>
          <w:tcPr>
            <w:tcW w:w="0" w:type="dxa"/>
            <w:vAlign w:val="bottom"/>
          </w:tcPr>
          <w:p>
            <w:pPr>
              <w:spacing w:after="0"/>
              <w:rPr>
                <w:sz w:val="1"/>
                <w:szCs w:val="1"/>
                <w:color w:val="auto"/>
              </w:rPr>
            </w:pPr>
          </w:p>
        </w:tc>
      </w:tr>
      <w:tr>
        <w:trPr>
          <w:trHeight w:val="174"/>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293,549,223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3,187,168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672,468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3,860,767</w:t>
            </w: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common stock upon</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2,881,485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14,810</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Arial" w:cs="Arial" w:eastAsia="Arial" w:hAnsi="Arial"/>
                <w:sz w:val="14"/>
                <w:szCs w:val="14"/>
                <w:color w:val="auto"/>
                <w:w w:val="90"/>
              </w:rPr>
              <w:t>Issuance of common stock upon release</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1,768,702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300" w:type="dxa"/>
            <w:vAlign w:val="bottom"/>
          </w:tcPr>
          <w:p>
            <w:pPr>
              <w:ind w:left="20"/>
              <w:spacing w:after="0"/>
              <w:rPr>
                <w:sz w:val="20"/>
                <w:szCs w:val="20"/>
                <w:color w:val="auto"/>
              </w:rPr>
            </w:pPr>
            <w:r>
              <w:rPr>
                <w:rFonts w:ascii="Arial" w:cs="Arial" w:eastAsia="Arial" w:hAnsi="Arial"/>
                <w:sz w:val="14"/>
                <w:szCs w:val="14"/>
                <w:color w:val="auto"/>
              </w:rPr>
              <w:t>of restricted stock units</w:t>
            </w: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common stock for</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838,395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59,331</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40"/>
              <w:spacing w:after="0"/>
              <w:rPr>
                <w:sz w:val="20"/>
                <w:szCs w:val="20"/>
                <w:color w:val="auto"/>
              </w:rPr>
            </w:pPr>
            <w:r>
              <w:rPr>
                <w:rFonts w:ascii="Arial" w:cs="Arial" w:eastAsia="Arial" w:hAnsi="Arial"/>
                <w:sz w:val="14"/>
                <w:szCs w:val="14"/>
                <w:color w:val="auto"/>
                <w:w w:val="99"/>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488,210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488,210</w:t>
            </w:r>
          </w:p>
        </w:tc>
        <w:tc>
          <w:tcPr>
            <w:tcW w:w="0" w:type="dxa"/>
            <w:vAlign w:val="bottom"/>
          </w:tcPr>
          <w:p>
            <w:pPr>
              <w:spacing w:after="0"/>
              <w:rPr>
                <w:sz w:val="1"/>
                <w:szCs w:val="1"/>
                <w:color w:val="auto"/>
              </w:rPr>
            </w:pPr>
          </w:p>
        </w:tc>
      </w:tr>
      <w:tr>
        <w:trPr>
          <w:trHeight w:val="185"/>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(18,741)</w:t>
            </w:r>
          </w:p>
        </w:tc>
        <w:tc>
          <w:tcPr>
            <w:tcW w:w="0" w:type="dxa"/>
            <w:vAlign w:val="bottom"/>
          </w:tcPr>
          <w:p>
            <w:pPr>
              <w:spacing w:after="0"/>
              <w:rPr>
                <w:sz w:val="1"/>
                <w:szCs w:val="1"/>
                <w:color w:val="auto"/>
              </w:rPr>
            </w:pPr>
          </w:p>
        </w:tc>
      </w:tr>
      <w:tr>
        <w:trPr>
          <w:trHeight w:val="181"/>
        </w:trPr>
        <w:tc>
          <w:tcPr>
            <w:tcW w:w="2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1,375,639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1,375,639</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299,037,805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2,048,107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5,780,018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202"/>
              <w:spacing w:after="0"/>
              <w:rPr>
                <w:sz w:val="20"/>
                <w:szCs w:val="20"/>
                <w:color w:val="auto"/>
              </w:rPr>
            </w:pPr>
            <w:r>
              <w:rPr>
                <w:rFonts w:ascii="Arial" w:cs="Arial" w:eastAsia="Arial" w:hAnsi="Arial"/>
                <w:sz w:val="16"/>
                <w:szCs w:val="16"/>
                <w:b w:val="1"/>
                <w:bCs w:val="1"/>
                <w:color w:val="auto"/>
              </w:rPr>
              <w:t>Year Ended January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1,375,639</w:t>
            </w:r>
          </w:p>
        </w:tc>
        <w:tc>
          <w:tcPr>
            <w:tcW w:w="1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672,316</w:t>
            </w:r>
          </w:p>
        </w:tc>
        <w:tc>
          <w:tcPr>
            <w:tcW w:w="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25,305</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477,287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275,818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73,109</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from release of valuation allowance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177,283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104,306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37,101</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Gains on strategic investments,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28,857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16,449</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32,007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Non-cash operating lease cost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10,887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6,885</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donation of common stock</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Amortization on marketable securities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5,433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(64,715)</w:t>
            </w:r>
          </w:p>
        </w:tc>
        <w:tc>
          <w:tcPr>
            <w:tcW w:w="0" w:type="dxa"/>
            <w:vAlign w:val="bottom"/>
          </w:tcPr>
          <w:p>
            <w:pPr>
              <w:spacing w:after="0"/>
              <w:rPr>
                <w:sz w:val="1"/>
                <w:szCs w:val="1"/>
                <w:color w:val="auto"/>
              </w:rPr>
            </w:pPr>
          </w:p>
        </w:tc>
      </w:tr>
      <w:tr>
        <w:trPr>
          <w:trHeight w:val="206"/>
        </w:trPr>
        <w:tc>
          <w:tcPr>
            <w:tcW w:w="698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(155,934)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(68,521)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(24,805)</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contract acquisition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(72,714)</w:t>
            </w:r>
          </w:p>
        </w:tc>
        <w:tc>
          <w:tcPr>
            <w:tcW w:w="0" w:type="dxa"/>
            <w:vAlign w:val="bottom"/>
          </w:tcPr>
          <w:p>
            <w:pPr>
              <w:spacing w:after="0"/>
              <w:rPr>
                <w:sz w:val="1"/>
                <w:szCs w:val="1"/>
                <w:color w:val="auto"/>
              </w:rPr>
            </w:pPr>
          </w:p>
        </w:tc>
      </w:tr>
      <w:tr>
        <w:trPr>
          <w:trHeight w:val="206"/>
        </w:trPr>
        <w:tc>
          <w:tcPr>
            <w:tcW w:w="69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3,481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251,654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51,179</w:t>
            </w:r>
          </w:p>
        </w:tc>
        <w:tc>
          <w:tcPr>
            <w:tcW w:w="0" w:type="dxa"/>
            <w:vAlign w:val="bottom"/>
          </w:tcPr>
          <w:p>
            <w:pPr>
              <w:spacing w:after="0"/>
              <w:rPr>
                <w:sz w:val="1"/>
                <w:szCs w:val="1"/>
                <w:color w:val="auto"/>
              </w:rPr>
            </w:pPr>
          </w:p>
        </w:tc>
      </w:tr>
      <w:tr>
        <w:trPr>
          <w:trHeight w:val="206"/>
        </w:trPr>
        <w:tc>
          <w:tcPr>
            <w:tcW w:w="698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293,887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665,724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106,286</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199"/>
        </w:trPr>
        <w:tc>
          <w:tcPr>
            <w:tcW w:w="6980" w:type="dxa"/>
            <w:vAlign w:val="bottom"/>
          </w:tcPr>
          <w:p>
            <w:pPr>
              <w:ind w:left="9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1,605,266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1,471,177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151,892</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(4,434,749)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(2,056,470)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(800,228)</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580,795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343,554</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Sales of marketable securities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296,867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36,897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(38,084)</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Purchases of strategic investments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(305,149)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Purchases of intangible assets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199"/>
        </w:trPr>
        <w:tc>
          <w:tcPr>
            <w:tcW w:w="6980" w:type="dxa"/>
            <w:vAlign w:val="bottom"/>
          </w:tcPr>
          <w:p>
            <w:pPr>
              <w:ind w:left="960"/>
              <w:spacing w:after="0" w:line="183" w:lineRule="exact"/>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(2,859,097)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(1,562,420)</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(499,468)</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for employee stock purchase plan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38,433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15,482</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 net of repurchases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9,169</w:t>
            </w: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w w:val="89"/>
              </w:rPr>
              <w:t>Proceeds from employee equity transactions (remitted) to be remitted to employees and tax authorities,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4,088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48,547</w:t>
            </w:r>
          </w:p>
        </w:tc>
        <w:tc>
          <w:tcPr>
            <w:tcW w:w="0" w:type="dxa"/>
            <w:vAlign w:val="bottom"/>
          </w:tcPr>
          <w:p>
            <w:pPr>
              <w:spacing w:after="0"/>
              <w:rPr>
                <w:sz w:val="1"/>
                <w:szCs w:val="1"/>
                <w:color w:val="auto"/>
              </w:rPr>
            </w:pPr>
          </w:p>
        </w:tc>
      </w:tr>
      <w:tr>
        <w:trPr>
          <w:trHeight w:val="163"/>
        </w:trPr>
        <w:tc>
          <w:tcPr>
            <w:tcW w:w="69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7"/>
              </w:rPr>
              <w:t>Proceeds from follow-on public offering, net of underwriting discounts and commissions and other</w:t>
            </w:r>
          </w:p>
        </w:tc>
        <w:tc>
          <w:tcPr>
            <w:tcW w:w="3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1,979,206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offering costs</w:t>
            </w:r>
          </w:p>
        </w:tc>
        <w:tc>
          <w:tcPr>
            <w:tcW w:w="3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220"/>
              <w:spacing w:after="0" w:line="160" w:lineRule="exact"/>
              <w:rPr>
                <w:sz w:val="20"/>
                <w:szCs w:val="20"/>
                <w:color w:val="auto"/>
              </w:rPr>
            </w:pPr>
            <w:r>
              <w:rPr>
                <w:rFonts w:ascii="Arial" w:cs="Arial" w:eastAsia="Arial" w:hAnsi="Arial"/>
                <w:sz w:val="16"/>
                <w:szCs w:val="16"/>
                <w:color w:val="auto"/>
              </w:rPr>
              <w:t>Proceeds from initial public offering and private placement, net of underwriting discounts and</w:t>
            </w:r>
          </w:p>
        </w:tc>
        <w:tc>
          <w:tcPr>
            <w:tcW w:w="32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542,492</w:t>
            </w:r>
          </w:p>
        </w:tc>
        <w:tc>
          <w:tcPr>
            <w:tcW w:w="0" w:type="dxa"/>
            <w:vAlign w:val="bottom"/>
          </w:tcPr>
          <w:p>
            <w:pPr>
              <w:spacing w:after="0"/>
              <w:rPr>
                <w:sz w:val="1"/>
                <w:szCs w:val="1"/>
                <w:color w:val="auto"/>
              </w:rPr>
            </w:pPr>
          </w:p>
        </w:tc>
      </w:tr>
      <w:tr>
        <w:trPr>
          <w:trHeight w:val="203"/>
        </w:trPr>
        <w:tc>
          <w:tcPr>
            <w:tcW w:w="6980" w:type="dxa"/>
            <w:vAlign w:val="bottom"/>
          </w:tcPr>
          <w:p>
            <w:pPr>
              <w:ind w:left="220"/>
              <w:spacing w:after="0"/>
              <w:rPr>
                <w:sz w:val="20"/>
                <w:szCs w:val="20"/>
                <w:color w:val="auto"/>
              </w:rPr>
            </w:pPr>
            <w:r>
              <w:rPr>
                <w:rFonts w:ascii="Arial" w:cs="Arial" w:eastAsia="Arial" w:hAnsi="Arial"/>
                <w:sz w:val="16"/>
                <w:szCs w:val="16"/>
                <w:color w:val="auto"/>
              </w:rPr>
              <w:t>commissions and other offering costs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980" w:type="dxa"/>
            <w:vAlign w:val="bottom"/>
            <w:tcBorders>
              <w:bottom w:val="single" w:sz="8" w:color="CCEEFF"/>
            </w:tcBorders>
          </w:tcPr>
          <w:p>
            <w:pPr>
              <w:ind w:left="96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34,068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2,050,277</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615,690</w:t>
            </w:r>
          </w:p>
        </w:tc>
        <w:tc>
          <w:tcPr>
            <w:tcW w:w="0" w:type="dxa"/>
            <w:vAlign w:val="bottom"/>
          </w:tcPr>
          <w:p>
            <w:pPr>
              <w:spacing w:after="0"/>
              <w:rPr>
                <w:sz w:val="1"/>
                <w:szCs w:val="1"/>
                <w:color w:val="auto"/>
              </w:rPr>
            </w:pPr>
          </w:p>
        </w:tc>
      </w:tr>
      <w:tr>
        <w:trPr>
          <w:trHeight w:val="20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(1,219,763)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1,959,034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268,114</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cash—beginning of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334,082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65,968</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cash—end of year</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1,073,353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2,293,116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Cash paid for income taxes, net</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3,181</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Purchase of equipment during the period included in accounts payable and accrued expenses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8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02"/>
              <w:spacing w:after="0" w:line="178"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13,728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34,514</w:t>
            </w: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62"/>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980" w:type="dxa"/>
            <w:vAlign w:val="bottom"/>
            <w:tcBorders>
              <w:bottom w:val="single" w:sz="8" w:color="CCEEFF"/>
            </w:tcBorders>
            <w:shd w:val="clear" w:color="auto" w:fill="CCEEFF"/>
          </w:tcPr>
          <w:p>
            <w:pPr>
              <w:ind w:left="220"/>
              <w:spacing w:after="0" w:line="180" w:lineRule="exact"/>
              <w:rPr>
                <w:sz w:val="20"/>
                <w:szCs w:val="20"/>
                <w:color w:val="auto"/>
              </w:rPr>
            </w:pPr>
            <w:r>
              <w:rPr>
                <w:rFonts w:ascii="Arial" w:cs="Arial" w:eastAsia="Arial" w:hAnsi="Arial"/>
                <w:sz w:val="16"/>
                <w:szCs w:val="16"/>
                <w:color w:val="auto"/>
              </w:rPr>
              <w:t>Vesting of early exercised stock options and restricted stock awards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558</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Conversion of convertible preferred stock to Class B common stock upon initial public offering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80" w:type="dxa"/>
            <w:vAlign w:val="bottom"/>
            <w:vMerge w:val="continue"/>
          </w:tcPr>
          <w:p>
            <w:pPr>
              <w:spacing w:after="0"/>
              <w:rPr>
                <w:sz w:val="15"/>
                <w:szCs w:val="15"/>
                <w:color w:val="auto"/>
              </w:rPr>
            </w:pPr>
          </w:p>
        </w:tc>
        <w:tc>
          <w:tcPr>
            <w:tcW w:w="380" w:type="dxa"/>
            <w:vAlign w:val="bottom"/>
          </w:tcPr>
          <w:p>
            <w:pPr>
              <w:jc w:val="right"/>
              <w:ind w:right="202"/>
              <w:spacing w:after="0" w:line="181" w:lineRule="exact"/>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262"/>
              <w:spacing w:after="0" w:line="181"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159,552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80" w:type="dxa"/>
            <w:vAlign w:val="bottom"/>
            <w:shd w:val="clear" w:color="auto" w:fill="CCEEFF"/>
          </w:tcPr>
          <w:p>
            <w:pPr>
              <w:ind w:left="220"/>
              <w:spacing w:after="0" w:line="178" w:lineRule="exact"/>
              <w:rPr>
                <w:sz w:val="20"/>
                <w:szCs w:val="20"/>
                <w:color w:val="auto"/>
              </w:rPr>
            </w:pPr>
            <w:r>
              <w:rPr>
                <w:rFonts w:ascii="Arial" w:cs="Arial" w:eastAsia="Arial" w:hAnsi="Arial"/>
                <w:sz w:val="16"/>
                <w:szCs w:val="16"/>
                <w:color w:val="auto"/>
              </w:rPr>
              <w:t>Conversion of debt to Class A common stock</w:t>
            </w:r>
          </w:p>
        </w:tc>
        <w:tc>
          <w:tcPr>
            <w:tcW w:w="380" w:type="dxa"/>
            <w:vAlign w:val="bottom"/>
            <w:shd w:val="clear" w:color="auto" w:fill="CCEEFF"/>
          </w:tcPr>
          <w:p>
            <w:pPr>
              <w:jc w:val="right"/>
              <w:ind w:right="202"/>
              <w:spacing w:after="0" w:line="178" w:lineRule="exact"/>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62"/>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15,344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w w:val="88"/>
              </w:rPr>
              <w:t>Reconciliation of cash, cash equivalents, and restricted cash within the consolidated balance sheets to</w:t>
            </w: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the amounts shown in the consolidated statements of cash flows above: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1,062,820</w:t>
            </w:r>
          </w:p>
        </w:tc>
        <w:tc>
          <w:tcPr>
            <w:tcW w:w="10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2,240,303</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283,134</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current included in prepaid expenses and other current assets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50,575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48,647</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cash, noncurrent included in other assets, noncurrent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2,238</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1,073,353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2,293,116</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5" w:lineRule="exact"/>
        <w:rPr>
          <w:sz w:val="20"/>
          <w:szCs w:val="20"/>
          <w:color w:val="auto"/>
        </w:rPr>
      </w:pPr>
    </w:p>
    <w:p>
      <w:pPr>
        <w:ind w:left="640" w:hanging="635"/>
        <w:spacing w:after="0"/>
        <w:tabs>
          <w:tab w:leader="none" w:pos="64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Business and Significant Accounting Policies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Zoom Video Communications, Inc. and its subsidiaries (collectively, “Zoom,” the “Company,” “we,” “us,” or “our”) connect people through our core unified communications offering, which frictionlessly brings together video, phone, chat, and webinars, and enables meaningful experiences across disparate devices and locations. We were incorporated in the state of Delaware in April 2011, and are headquartered in San Jose, California.</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Fiscal Year</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fiscal year ends on January 31. References to fiscal year 2022, for example, refer to the fiscal year ended January 31, 2022.</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(“GAAP”) and include the accounts of Zoom Video Communications, Inc., its subsidiaries, and a variable interest entity for which we are the primary beneficiary. All intercompany balances and transactions have been eliminated in consolidation.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8"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4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the availability and distribution of vaccines, and their impact on our customers and our sales cycles. During the fiscal years ended January 31, 2022 and 2021,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Concentration of Risks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No single customer accounted for more than 10% of accounts receivable at January 31, 2022 or 2021. No single customer accounted for 10% or more of total revenue during the fiscal years ended January 31, 2022, 2021, or 2020.</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and cash equivalents consist of cash in banks and highly liquid investments, primarily money market funds, purchased with an original maturity of three months or less.</w:t>
      </w:r>
    </w:p>
    <w:p>
      <w:pPr>
        <w:spacing w:after="0" w:line="54"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Restricted cash consists of certificates of deposit collateralizing our operating leases and cash from proceeds from international employees’ sales of our common stock, and is included in prepaid expenses and other current assets and other assets, noncurrent in the consolidated balance sheets.</w:t>
      </w:r>
    </w:p>
    <w:p>
      <w:pPr>
        <w:spacing w:after="0" w:line="3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January 31, 2022 and 2021, we had $10.2 million and $50.5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amount as restricted cash included in prepaid expenses and other current assets, and a corresponding amount is included in accrued expenses and other current liabilities in the consolidated balance sheets.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Allowance for Credit Losses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are exposed to credit losses primarily through our accounts receivable and investments in available-for-sale debt securities. See Note 3 for additional information related to our available-for-sale debt securities.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i w:val="1"/>
          <w:iCs w:val="1"/>
          <w:u w:val="single" w:color="auto"/>
          <w:color w:val="auto"/>
        </w:rPr>
        <w:t>Accounts receivable, net</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Accounts receivable are recorded for invoiced amounts and amounts for which revenue has been recognized, but not invoiced, net of allowances. Our short-term accounts receivable consist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January 31, 2022</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 January 31, 2021</w:t>
            </w:r>
          </w:p>
        </w:tc>
      </w:tr>
      <w:tr>
        <w:trPr>
          <w:trHeight w:val="241"/>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4"/>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331,547</w:t>
            </w:r>
          </w:p>
        </w:tc>
      </w:tr>
      <w:tr>
        <w:trPr>
          <w:trHeight w:val="222"/>
        </w:trPr>
        <w:tc>
          <w:tcPr>
            <w:tcW w:w="7460" w:type="dxa"/>
            <w:vAlign w:val="bottom"/>
          </w:tcPr>
          <w:p>
            <w:pPr>
              <w:ind w:left="20"/>
              <w:spacing w:after="0"/>
              <w:rPr>
                <w:sz w:val="20"/>
                <w:szCs w:val="20"/>
                <w:color w:val="auto"/>
              </w:rPr>
            </w:pPr>
            <w:r>
              <w:rPr>
                <w:rFonts w:ascii="Arial" w:cs="Arial" w:eastAsia="Arial" w:hAnsi="Arial"/>
                <w:sz w:val="17"/>
                <w:szCs w:val="17"/>
                <w:color w:val="auto"/>
              </w:rPr>
              <w:t>Less: Allowance for credit losses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1040"/>
              <w:spacing w:after="0"/>
              <w:rPr>
                <w:sz w:val="20"/>
                <w:szCs w:val="20"/>
                <w:color w:val="auto"/>
              </w:rPr>
            </w:pPr>
            <w:r>
              <w:rPr>
                <w:rFonts w:ascii="Arial" w:cs="Arial" w:eastAsia="Arial" w:hAnsi="Arial"/>
                <w:sz w:val="17"/>
                <w:szCs w:val="17"/>
                <w:color w:val="auto"/>
                <w:w w:val="94"/>
              </w:rPr>
              <w:t>(20,500)</w:t>
            </w: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returns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4"/>
              </w:rPr>
              <w:t>(16,344)</w:t>
            </w:r>
          </w:p>
        </w:tc>
      </w:tr>
      <w:tr>
        <w:trPr>
          <w:trHeight w:val="215"/>
        </w:trPr>
        <w:tc>
          <w:tcPr>
            <w:tcW w:w="7460" w:type="dxa"/>
            <w:vAlign w:val="bottom"/>
          </w:tcPr>
          <w:p>
            <w:pPr>
              <w:ind w:left="24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419,673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294,703</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Furthermore, the allowance for sales returns is recorded as an offset to accounts receivable, and changes to the allowance are classified as a reduction in revenue in the consolidated statements of operations. We estimate returns from sales to customers based on historical chargebacks and return rates.</w:t>
      </w:r>
    </w:p>
    <w:p>
      <w:pPr>
        <w:spacing w:after="0" w:line="6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For the fiscal year ended January 31, 2022, our assessment considered business and market disruptions caused by COVID-19 and estimates of credit and collectibility trends. The continued volatility in market conditions and evolving shifts in credit trends are difficult to predict, causing variability and volatility that may have a material impact on our allowance for credit losses in future periods. Below is a rollforward of our allowance for credit losses for the fiscal year</w:t>
      </w:r>
    </w:p>
    <w:tbl>
      <w:tblPr>
        <w:tblLayout w:type="fixed"/>
        <w:tblInd w:w="0" w:type="dxa"/>
        <w:tblCellMar>
          <w:top w:w="0" w:type="dxa"/>
          <w:left w:w="0" w:type="dxa"/>
          <w:bottom w:w="0" w:type="dxa"/>
          <w:right w:w="0" w:type="dxa"/>
        </w:tblCellMar>
      </w:tblPr>
      <w:tr>
        <w:trPr>
          <w:trHeight w:val="221"/>
        </w:trPr>
        <w:tc>
          <w:tcPr>
            <w:tcW w:w="460" w:type="dxa"/>
            <w:vAlign w:val="bottom"/>
          </w:tcPr>
          <w:p>
            <w:pPr>
              <w:spacing w:after="0"/>
              <w:rPr>
                <w:sz w:val="20"/>
                <w:szCs w:val="20"/>
                <w:color w:val="auto"/>
              </w:rPr>
            </w:pPr>
            <w:r>
              <w:rPr>
                <w:rFonts w:ascii="Arial" w:cs="Arial" w:eastAsia="Arial" w:hAnsi="Arial"/>
                <w:sz w:val="17"/>
                <w:szCs w:val="17"/>
                <w:color w:val="auto"/>
                <w:w w:val="92"/>
              </w:rPr>
              <w:t>ended</w:t>
            </w:r>
          </w:p>
        </w:tc>
        <w:tc>
          <w:tcPr>
            <w:tcW w:w="6220" w:type="dxa"/>
            <w:vAlign w:val="bottom"/>
          </w:tcPr>
          <w:p>
            <w:pPr>
              <w:ind w:left="3180"/>
              <w:spacing w:after="0"/>
              <w:rPr>
                <w:sz w:val="20"/>
                <w:szCs w:val="20"/>
                <w:color w:val="auto"/>
              </w:rPr>
            </w:pPr>
            <w:r>
              <w:rPr>
                <w:rFonts w:ascii="Arial" w:cs="Arial" w:eastAsia="Arial" w:hAnsi="Arial"/>
                <w:sz w:val="17"/>
                <w:szCs w:val="17"/>
                <w:color w:val="auto"/>
              </w:rPr>
              <w:t>January</w:t>
            </w:r>
          </w:p>
        </w:tc>
        <w:tc>
          <w:tcPr>
            <w:tcW w:w="660" w:type="dxa"/>
            <w:vAlign w:val="bottom"/>
          </w:tcPr>
          <w:p>
            <w:pPr>
              <w:spacing w:after="0"/>
              <w:rPr>
                <w:sz w:val="19"/>
                <w:szCs w:val="19"/>
                <w:color w:val="auto"/>
              </w:rPr>
            </w:pPr>
          </w:p>
        </w:tc>
        <w:tc>
          <w:tcPr>
            <w:tcW w:w="1580" w:type="dxa"/>
            <w:vAlign w:val="bottom"/>
          </w:tcPr>
          <w:p>
            <w:pPr>
              <w:jc w:val="right"/>
              <w:ind w:right="1218"/>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2022.</w:t>
            </w:r>
          </w:p>
        </w:tc>
      </w:tr>
      <w:tr>
        <w:trPr>
          <w:trHeight w:val="192"/>
        </w:trPr>
        <w:tc>
          <w:tcPr>
            <w:tcW w:w="46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January 31, 2022</w:t>
            </w: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January 31, 2021</w:t>
            </w:r>
          </w:p>
        </w:tc>
      </w:tr>
      <w:tr>
        <w:trPr>
          <w:trHeight w:val="215"/>
        </w:trPr>
        <w:tc>
          <w:tcPr>
            <w:tcW w:w="4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8"/>
                <w:szCs w:val="18"/>
                <w:color w:val="auto"/>
              </w:rPr>
            </w:pPr>
          </w:p>
        </w:tc>
      </w:tr>
      <w:tr>
        <w:trPr>
          <w:trHeight w:val="227"/>
        </w:trPr>
        <w:tc>
          <w:tcPr>
            <w:tcW w:w="460" w:type="dxa"/>
            <w:vAlign w:val="bottom"/>
            <w:shd w:val="clear" w:color="auto" w:fill="CCEEFF"/>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as of beginning of year</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center"/>
              <w:ind w:left="858"/>
              <w:spacing w:after="0"/>
              <w:rPr>
                <w:sz w:val="20"/>
                <w:szCs w:val="20"/>
                <w:color w:val="auto"/>
              </w:rPr>
            </w:pPr>
            <w:r>
              <w:rPr>
                <w:rFonts w:ascii="Arial" w:cs="Arial" w:eastAsia="Arial" w:hAnsi="Arial"/>
                <w:sz w:val="17"/>
                <w:szCs w:val="17"/>
                <w:color w:val="auto"/>
                <w:w w:val="92"/>
              </w:rPr>
              <w:t>20,500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5,150</w:t>
            </w:r>
          </w:p>
        </w:tc>
      </w:tr>
      <w:tr>
        <w:trPr>
          <w:trHeight w:val="222"/>
        </w:trPr>
        <w:tc>
          <w:tcPr>
            <w:tcW w:w="460" w:type="dxa"/>
            <w:vAlign w:val="bottom"/>
          </w:tcPr>
          <w:p>
            <w:pPr>
              <w:spacing w:after="0"/>
              <w:rPr>
                <w:sz w:val="19"/>
                <w:szCs w:val="19"/>
                <w:color w:val="auto"/>
              </w:rPr>
            </w:pPr>
          </w:p>
        </w:tc>
        <w:tc>
          <w:tcPr>
            <w:tcW w:w="6220" w:type="dxa"/>
            <w:vAlign w:val="bottom"/>
          </w:tcPr>
          <w:p>
            <w:pPr>
              <w:ind w:left="40"/>
              <w:spacing w:after="0"/>
              <w:rPr>
                <w:sz w:val="20"/>
                <w:szCs w:val="20"/>
                <w:color w:val="auto"/>
              </w:rPr>
            </w:pPr>
            <w:r>
              <w:rPr>
                <w:rFonts w:ascii="Arial" w:cs="Arial" w:eastAsia="Arial" w:hAnsi="Arial"/>
                <w:sz w:val="17"/>
                <w:szCs w:val="17"/>
                <w:color w:val="auto"/>
              </w:rPr>
              <w:t>Provision for credit losses</w:t>
            </w:r>
          </w:p>
        </w:tc>
        <w:tc>
          <w:tcPr>
            <w:tcW w:w="660" w:type="dxa"/>
            <w:vAlign w:val="bottom"/>
          </w:tcPr>
          <w:p>
            <w:pPr>
              <w:spacing w:after="0"/>
              <w:rPr>
                <w:sz w:val="19"/>
                <w:szCs w:val="19"/>
                <w:color w:val="auto"/>
              </w:rPr>
            </w:pPr>
          </w:p>
        </w:tc>
        <w:tc>
          <w:tcPr>
            <w:tcW w:w="1580" w:type="dxa"/>
            <w:vAlign w:val="bottom"/>
          </w:tcPr>
          <w:p>
            <w:pPr>
              <w:jc w:val="center"/>
              <w:ind w:left="858"/>
              <w:spacing w:after="0"/>
              <w:rPr>
                <w:sz w:val="20"/>
                <w:szCs w:val="20"/>
                <w:color w:val="auto"/>
              </w:rPr>
            </w:pPr>
            <w:r>
              <w:rPr>
                <w:rFonts w:ascii="Arial" w:cs="Arial" w:eastAsia="Arial" w:hAnsi="Arial"/>
                <w:sz w:val="17"/>
                <w:szCs w:val="17"/>
                <w:color w:val="auto"/>
                <w:w w:val="92"/>
              </w:rPr>
              <w:t>32,587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25,651</w:t>
            </w:r>
          </w:p>
        </w:tc>
      </w:tr>
      <w:tr>
        <w:trPr>
          <w:trHeight w:val="222"/>
        </w:trPr>
        <w:tc>
          <w:tcPr>
            <w:tcW w:w="460" w:type="dxa"/>
            <w:vAlign w:val="bottom"/>
            <w:shd w:val="clear" w:color="auto" w:fill="CCEEFF"/>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Write-offs</w:t>
            </w: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7"/>
                <w:szCs w:val="17"/>
                <w:color w:val="auto"/>
                <w:w w:val="94"/>
              </w:rPr>
              <w:t>(36,087)</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(10,301)</w:t>
            </w:r>
          </w:p>
        </w:tc>
      </w:tr>
      <w:tr>
        <w:trPr>
          <w:trHeight w:val="215"/>
        </w:trPr>
        <w:tc>
          <w:tcPr>
            <w:tcW w:w="46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7"/>
                <w:szCs w:val="17"/>
                <w:color w:val="auto"/>
              </w:rPr>
              <w:t>Balance as of end of year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center"/>
              <w:ind w:left="858"/>
              <w:spacing w:after="0"/>
              <w:rPr>
                <w:sz w:val="20"/>
                <w:szCs w:val="20"/>
                <w:color w:val="auto"/>
              </w:rPr>
            </w:pPr>
            <w:r>
              <w:rPr>
                <w:rFonts w:ascii="Arial" w:cs="Arial" w:eastAsia="Arial" w:hAnsi="Arial"/>
                <w:sz w:val="17"/>
                <w:szCs w:val="17"/>
                <w:color w:val="auto"/>
                <w:w w:val="92"/>
              </w:rPr>
              <w:t>17,000</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20,500</w:t>
            </w: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480"/>
        <w:spacing w:after="0"/>
        <w:rPr>
          <w:sz w:val="20"/>
          <w:szCs w:val="20"/>
          <w:color w:val="auto"/>
        </w:rPr>
      </w:pPr>
      <w:r>
        <w:rPr>
          <w:rFonts w:ascii="Arial" w:cs="Arial" w:eastAsia="Arial" w:hAnsi="Arial"/>
          <w:sz w:val="17"/>
          <w:szCs w:val="17"/>
          <w:i w:val="1"/>
          <w:iCs w:val="1"/>
          <w:u w:val="single" w:color="auto"/>
          <w:color w:val="auto"/>
        </w:rPr>
        <w:t>Available-for-sale Investments</w:t>
      </w:r>
    </w:p>
    <w:p>
      <w:pPr>
        <w:spacing w:after="0" w:line="118"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(loss) income,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other (expense) income, net in the consolidated statements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Strategic Investments</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on strategic investments, net in the consolidated statements of operations.</w:t>
      </w:r>
    </w:p>
    <w:p>
      <w:pPr>
        <w:spacing w:after="0" w:line="7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If, based on the terms of these publicly traded and privately held securities, we determine that we exercise significant influence on the entity to which these securities relate, we will apply the equity method of accounting for such investments. Privately held equity securities that are accounted for under the equity method are measured at cost less any impairment, plus or minus our share of equity method investee income or loss, which is reported in gains on strategic investments, net in the consolidated statements of operations.</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Privately held debt securities are recorded at fair value with changes in fair value recorded through accumulated other comprehensive (loss) income on the consolidated balance sheets.</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On a quarterly basis, we assess our privately held debt and equity securities in our strategic investment portfolio for indicators for impairment. As of January 31, 2022, we have not recognized any impairments to our privately held debt and equity securities.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capitalize certain development costs related to our unified communications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these assets. We have capitalized $20.2 million, $19.4 million, and $3.1 million of software development costs during the fiscal years ended January 31, 2022, 2021, and 2020, respectively.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Leases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8"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2022, 2021, or 2020.</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2022 and determined that no adjustment to the carrying value of goodwill was required.</w:t>
      </w:r>
    </w:p>
    <w:p>
      <w:pPr>
        <w:spacing w:after="0" w:line="7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Amortization expense of developed technology is recorded within cost of revenue in the consolidated statements of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2022.</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derive our revenue primarily from subscription agreements with customers for access to our unified communications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We determine revenue recognition through the following steps:</w:t>
      </w:r>
    </w:p>
    <w:p>
      <w:pPr>
        <w:spacing w:after="0" w:line="176" w:lineRule="exact"/>
        <w:rPr>
          <w:sz w:val="20"/>
          <w:szCs w:val="20"/>
          <w:color w:val="auto"/>
        </w:rPr>
      </w:pPr>
    </w:p>
    <w:p>
      <w:pPr>
        <w:ind w:left="640" w:hanging="322"/>
        <w:spacing w:after="0"/>
        <w:tabs>
          <w:tab w:leader="none" w:pos="64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Identification of the contract, or contracts, with the customer</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78" w:lineRule="exact"/>
        <w:rPr>
          <w:sz w:val="20"/>
          <w:szCs w:val="20"/>
          <w:color w:val="auto"/>
        </w:rPr>
      </w:pPr>
    </w:p>
    <w:p>
      <w:pPr>
        <w:ind w:left="640" w:hanging="322"/>
        <w:spacing w:after="0"/>
        <w:tabs>
          <w:tab w:leader="none" w:pos="64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Identification of the performance obligations in the contract</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185" w:lineRule="exact"/>
        <w:rPr>
          <w:sz w:val="20"/>
          <w:szCs w:val="20"/>
          <w:color w:val="auto"/>
        </w:rPr>
      </w:pPr>
    </w:p>
    <w:p>
      <w:pPr>
        <w:ind w:left="640" w:hanging="322"/>
        <w:spacing w:after="0"/>
        <w:tabs>
          <w:tab w:leader="none" w:pos="64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Determination of the transaction price</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unified communications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62" w:lineRule="exact"/>
        <w:rPr>
          <w:sz w:val="20"/>
          <w:szCs w:val="20"/>
          <w:color w:val="auto"/>
        </w:rPr>
      </w:pPr>
    </w:p>
    <w:p>
      <w:pPr>
        <w:ind w:left="640" w:hanging="322"/>
        <w:spacing w:after="0"/>
        <w:tabs>
          <w:tab w:leader="none" w:pos="64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Allocation of the transaction price to the performance obligations in the contract</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hanging="322"/>
        <w:spacing w:after="0"/>
        <w:tabs>
          <w:tab w:leader="none" w:pos="64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Recognition of the revenue when, or as, a performance obligation is satisfied</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platform and related services are subscription revenue and are considered one performance obligation, and the related revenue is recognized ratably over the subscription period as we satisfy the performance obligation.</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Professional services are time-based arrangements and revenue is recognized as these services are performed. Fees for services represent less than 2% of total revenue during the periods presented.</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Cost of revenue primarily consists of costs related to hosting our unified communications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health care benefits, training, and other employee benefits are allocated to cost of revenue and operating expenses based on applicable headcount.</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Research and development costs include personnel-related expenses associated with our engineering personnel and consultants responsible for the design, development, and testing of our unified communications platform, depreciation of equipment used in research and development, and allocated overhead costs. Research and development costs are expensed as incurred.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Advertising costs are expensed as incurred in sales and marketing expense and amounted to $40.9 million, $34.8 million, and $42.0 million for the fiscal years ended January 31, 2022, 2021, and 2020, respectively.</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Stock-based compensation expense related to stock awards (including stock options, restricted stock awards (“RSAs”), RSUs, and ESPP) is measured based on the fair value of the awards granted and recognized as an expense on a straight-line basis over the requisite service period.</w:t>
      </w:r>
    </w:p>
    <w:p>
      <w:pPr>
        <w:spacing w:after="0" w:line="5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each RSA and RSU award is based on the fair value of the underlying common stock as of the grant date.</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during the periods presented.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Income Taxes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6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Deferred tax assets are evaluated for future realization and reduced by a valuation allowance to the extent we believe it is more likely than not that they will not be realized. We consider all available positive and negative evidence, including future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reversals of existing taxable temporary differences, projected future taxable income, tax-planning strategies, carryback potential if permitted under the tax law, and results of recent operations.</w:t>
      </w:r>
    </w:p>
    <w:p>
      <w:pPr>
        <w:spacing w:after="0" w:line="5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 xml:space="preserve">We record uncertain tax positions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 to uncertain tax positions as a component of our provision for income taxes. Accrued interest and penalties are included with the related tax liability.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Net Income Per Share Attributable to Common Stockholders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calculate our net income per share attributable to Class A and Class B common stock using the two-class method required for companies with participating securities. We consider our convertible preferred stock and unvested common stock, which includes early exercised stock options and RSAs, to be participating securities as holders of such securities have non-forfeitable dividend rights in the event of our declaration of a dividend for shares of common stock.</w:t>
      </w:r>
    </w:p>
    <w:p>
      <w:pPr>
        <w:spacing w:after="0" w:line="7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1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consolidated financial information.</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Revenue by geographical region can be found in the revenue recognition disclosures in Note 2 below. The following table presents our property and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80" w:type="dxa"/>
            <w:vAlign w:val="bottom"/>
          </w:tcPr>
          <w:p>
            <w:pPr>
              <w:spacing w:after="0"/>
              <w:rPr>
                <w:sz w:val="20"/>
                <w:szCs w:val="20"/>
                <w:color w:val="auto"/>
              </w:rPr>
            </w:pPr>
            <w:r>
              <w:rPr>
                <w:rFonts w:ascii="Arial" w:cs="Arial" w:eastAsia="Arial" w:hAnsi="Arial"/>
                <w:sz w:val="17"/>
                <w:szCs w:val="17"/>
                <w:color w:val="auto"/>
              </w:rPr>
              <w:t>equipment,</w:t>
            </w:r>
          </w:p>
        </w:tc>
        <w:tc>
          <w:tcPr>
            <w:tcW w:w="860" w:type="dxa"/>
            <w:vAlign w:val="bottom"/>
          </w:tcPr>
          <w:p>
            <w:pPr>
              <w:ind w:left="240"/>
              <w:spacing w:after="0"/>
              <w:rPr>
                <w:sz w:val="20"/>
                <w:szCs w:val="20"/>
                <w:color w:val="auto"/>
              </w:rPr>
            </w:pPr>
            <w:r>
              <w:rPr>
                <w:rFonts w:ascii="Arial" w:cs="Arial" w:eastAsia="Arial" w:hAnsi="Arial"/>
                <w:sz w:val="17"/>
                <w:szCs w:val="17"/>
                <w:color w:val="auto"/>
              </w:rPr>
              <w:t>net</w:t>
            </w:r>
          </w:p>
        </w:tc>
        <w:tc>
          <w:tcPr>
            <w:tcW w:w="1100" w:type="dxa"/>
            <w:vAlign w:val="bottom"/>
          </w:tcPr>
          <w:p>
            <w:pPr>
              <w:ind w:left="420"/>
              <w:spacing w:after="0"/>
              <w:rPr>
                <w:sz w:val="20"/>
                <w:szCs w:val="20"/>
                <w:color w:val="auto"/>
              </w:rPr>
            </w:pPr>
            <w:r>
              <w:rPr>
                <w:rFonts w:ascii="Arial" w:cs="Arial" w:eastAsia="Arial" w:hAnsi="Arial"/>
                <w:sz w:val="17"/>
                <w:szCs w:val="17"/>
                <w:color w:val="auto"/>
              </w:rPr>
              <w:t>of</w:t>
            </w:r>
          </w:p>
        </w:tc>
        <w:tc>
          <w:tcPr>
            <w:tcW w:w="1560" w:type="dxa"/>
            <w:vAlign w:val="bottom"/>
          </w:tcPr>
          <w:p>
            <w:pPr>
              <w:ind w:left="280"/>
              <w:spacing w:after="0"/>
              <w:rPr>
                <w:sz w:val="20"/>
                <w:szCs w:val="20"/>
                <w:color w:val="auto"/>
              </w:rPr>
            </w:pPr>
            <w:r>
              <w:rPr>
                <w:rFonts w:ascii="Arial" w:cs="Arial" w:eastAsia="Arial" w:hAnsi="Arial"/>
                <w:sz w:val="17"/>
                <w:szCs w:val="17"/>
                <w:color w:val="auto"/>
              </w:rPr>
              <w:t>depreciation</w:t>
            </w:r>
          </w:p>
        </w:tc>
        <w:tc>
          <w:tcPr>
            <w:tcW w:w="1080" w:type="dxa"/>
            <w:vAlign w:val="bottom"/>
          </w:tcPr>
          <w:p>
            <w:pPr>
              <w:ind w:left="420"/>
              <w:spacing w:after="0"/>
              <w:rPr>
                <w:sz w:val="20"/>
                <w:szCs w:val="20"/>
                <w:color w:val="auto"/>
              </w:rPr>
            </w:pPr>
            <w:r>
              <w:rPr>
                <w:rFonts w:ascii="Arial" w:cs="Arial" w:eastAsia="Arial" w:hAnsi="Arial"/>
                <w:sz w:val="17"/>
                <w:szCs w:val="17"/>
                <w:color w:val="auto"/>
              </w:rPr>
              <w:t>and</w:t>
            </w:r>
          </w:p>
        </w:tc>
        <w:tc>
          <w:tcPr>
            <w:tcW w:w="1680" w:type="dxa"/>
            <w:vAlign w:val="bottom"/>
            <w:gridSpan w:val="2"/>
          </w:tcPr>
          <w:p>
            <w:pPr>
              <w:jc w:val="right"/>
              <w:ind w:right="340"/>
              <w:spacing w:after="0"/>
              <w:rPr>
                <w:sz w:val="20"/>
                <w:szCs w:val="20"/>
                <w:color w:val="auto"/>
              </w:rPr>
            </w:pPr>
            <w:r>
              <w:rPr>
                <w:rFonts w:ascii="Arial" w:cs="Arial" w:eastAsia="Arial" w:hAnsi="Arial"/>
                <w:sz w:val="17"/>
                <w:szCs w:val="17"/>
                <w:color w:val="auto"/>
              </w:rPr>
              <w:t>amortization,</w:t>
            </w:r>
          </w:p>
        </w:tc>
        <w:tc>
          <w:tcPr>
            <w:tcW w:w="1380" w:type="dxa"/>
            <w:vAlign w:val="bottom"/>
            <w:gridSpan w:val="2"/>
          </w:tcPr>
          <w:p>
            <w:pPr>
              <w:ind w:left="480"/>
              <w:spacing w:after="0"/>
              <w:rPr>
                <w:sz w:val="20"/>
                <w:szCs w:val="20"/>
                <w:color w:val="auto"/>
              </w:rPr>
            </w:pPr>
            <w:r>
              <w:rPr>
                <w:rFonts w:ascii="Arial" w:cs="Arial" w:eastAsia="Arial" w:hAnsi="Arial"/>
                <w:sz w:val="17"/>
                <w:szCs w:val="17"/>
                <w:color w:val="auto"/>
              </w:rPr>
              <w:t>by</w:t>
            </w:r>
          </w:p>
        </w:tc>
        <w:tc>
          <w:tcPr>
            <w:tcW w:w="1020" w:type="dxa"/>
            <w:vAlign w:val="bottom"/>
          </w:tcPr>
          <w:p>
            <w:pPr>
              <w:jc w:val="right"/>
              <w:ind w:right="53"/>
              <w:spacing w:after="0"/>
              <w:rPr>
                <w:sz w:val="20"/>
                <w:szCs w:val="20"/>
                <w:color w:val="auto"/>
              </w:rPr>
            </w:pPr>
            <w:r>
              <w:rPr>
                <w:rFonts w:ascii="Arial" w:cs="Arial" w:eastAsia="Arial" w:hAnsi="Arial"/>
                <w:sz w:val="17"/>
                <w:szCs w:val="17"/>
                <w:color w:val="auto"/>
              </w:rPr>
              <w:t>geographic</w:t>
            </w:r>
          </w:p>
        </w:tc>
        <w:tc>
          <w:tcPr>
            <w:tcW w:w="1180" w:type="dxa"/>
            <w:vAlign w:val="bottom"/>
            <w:gridSpan w:val="2"/>
          </w:tcPr>
          <w:p>
            <w:pPr>
              <w:ind w:left="680"/>
              <w:spacing w:after="0"/>
              <w:rPr>
                <w:sz w:val="20"/>
                <w:szCs w:val="20"/>
                <w:color w:val="auto"/>
              </w:rPr>
            </w:pPr>
            <w:r>
              <w:rPr>
                <w:rFonts w:ascii="Arial" w:cs="Arial" w:eastAsia="Arial" w:hAnsi="Arial"/>
                <w:sz w:val="17"/>
                <w:szCs w:val="17"/>
                <w:color w:val="auto"/>
                <w:w w:val="92"/>
              </w:rPr>
              <w:t>region:</w:t>
            </w:r>
          </w:p>
        </w:tc>
      </w:tr>
      <w:tr>
        <w:trPr>
          <w:trHeight w:val="192"/>
        </w:trPr>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As of January 31,</w:t>
            </w: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1"/>
        </w:trPr>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211"/>
        </w:trPr>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13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Americas</w:t>
            </w: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138,093</w:t>
            </w:r>
          </w:p>
        </w:tc>
        <w:tc>
          <w:tcPr>
            <w:tcW w:w="40" w:type="dxa"/>
            <w:vAlign w:val="bottom"/>
          </w:tcPr>
          <w:p>
            <w:pPr>
              <w:spacing w:after="0"/>
              <w:rPr>
                <w:sz w:val="19"/>
                <w:szCs w:val="19"/>
                <w:color w:val="auto"/>
              </w:rPr>
            </w:pPr>
          </w:p>
        </w:tc>
      </w:tr>
      <w:tr>
        <w:trPr>
          <w:trHeight w:val="222"/>
        </w:trPr>
        <w:tc>
          <w:tcPr>
            <w:tcW w:w="1380" w:type="dxa"/>
            <w:vAlign w:val="bottom"/>
          </w:tcPr>
          <w:p>
            <w:pPr>
              <w:ind w:left="500"/>
              <w:spacing w:after="0"/>
              <w:rPr>
                <w:sz w:val="20"/>
                <w:szCs w:val="20"/>
                <w:color w:val="auto"/>
              </w:rPr>
            </w:pPr>
            <w:r>
              <w:rPr>
                <w:rFonts w:ascii="Arial" w:cs="Arial" w:eastAsia="Arial" w:hAnsi="Arial"/>
                <w:sz w:val="17"/>
                <w:szCs w:val="17"/>
                <w:color w:val="auto"/>
              </w:rPr>
              <w:t>APAC</w:t>
            </w: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36,715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10,033</w:t>
            </w:r>
          </w:p>
        </w:tc>
        <w:tc>
          <w:tcPr>
            <w:tcW w:w="40" w:type="dxa"/>
            <w:vAlign w:val="bottom"/>
          </w:tcPr>
          <w:p>
            <w:pPr>
              <w:spacing w:after="0"/>
              <w:rPr>
                <w:sz w:val="19"/>
                <w:szCs w:val="19"/>
                <w:color w:val="auto"/>
              </w:rPr>
            </w:pPr>
          </w:p>
        </w:tc>
      </w:tr>
      <w:tr>
        <w:trPr>
          <w:trHeight w:val="222"/>
        </w:trPr>
        <w:tc>
          <w:tcPr>
            <w:tcW w:w="13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EMEA</w:t>
            </w: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40" w:type="dxa"/>
            <w:vAlign w:val="bottom"/>
          </w:tcPr>
          <w:p>
            <w:pPr>
              <w:spacing w:after="0"/>
              <w:rPr>
                <w:sz w:val="19"/>
                <w:szCs w:val="19"/>
                <w:color w:val="auto"/>
              </w:rPr>
            </w:pPr>
          </w:p>
        </w:tc>
      </w:tr>
      <w:tr>
        <w:trPr>
          <w:trHeight w:val="215"/>
        </w:trPr>
        <w:tc>
          <w:tcPr>
            <w:tcW w:w="3340" w:type="dxa"/>
            <w:vAlign w:val="bottom"/>
            <w:gridSpan w:val="3"/>
          </w:tcPr>
          <w:p>
            <w:pPr>
              <w:ind w:left="700"/>
              <w:spacing w:after="0"/>
              <w:rPr>
                <w:sz w:val="20"/>
                <w:szCs w:val="20"/>
                <w:color w:val="auto"/>
              </w:rPr>
            </w:pPr>
            <w:r>
              <w:rPr>
                <w:rFonts w:ascii="Arial" w:cs="Arial" w:eastAsia="Arial" w:hAnsi="Arial"/>
                <w:sz w:val="17"/>
                <w:szCs w:val="17"/>
                <w:color w:val="auto"/>
              </w:rPr>
              <w:t>Total property and equipment, net</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222,354</w:t>
            </w:r>
          </w:p>
        </w:tc>
        <w:tc>
          <w:tcPr>
            <w:tcW w:w="100" w:type="dxa"/>
            <w:vAlign w:val="bottom"/>
          </w:tcPr>
          <w:p>
            <w:pPr>
              <w:spacing w:after="0"/>
              <w:rPr>
                <w:sz w:val="18"/>
                <w:szCs w:val="18"/>
                <w:color w:val="auto"/>
              </w:rPr>
            </w:pPr>
          </w:p>
        </w:tc>
        <w:tc>
          <w:tcPr>
            <w:tcW w:w="102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149,924</w:t>
            </w:r>
          </w:p>
        </w:tc>
        <w:tc>
          <w:tcPr>
            <w:tcW w:w="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an acquirer in a business combination to recognize and measure contract assets and contract liabilities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Accounting Standards Codification Topic 606. ASU 2021-08 is effective for fiscal years beginning after December 15, 2022 and early adoption is permitted. We do not expect the adoption to have a material effect on our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revenue by region based on the billing address of customers: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8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125"/>
              <w:spacing w:after="0" w:line="125"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125"/>
              <w:spacing w:after="0" w:line="125" w:lineRule="exact"/>
              <w:rPr>
                <w:sz w:val="20"/>
                <w:szCs w:val="20"/>
                <w:color w:val="auto"/>
              </w:rPr>
            </w:pPr>
            <w:r>
              <w:rPr>
                <w:rFonts w:ascii="Arial" w:cs="Arial" w:eastAsia="Arial" w:hAnsi="Arial"/>
                <w:sz w:val="14"/>
                <w:szCs w:val="14"/>
                <w:b w:val="1"/>
                <w:bCs w:val="1"/>
                <w:color w:val="auto"/>
              </w:rPr>
              <w:t>Percentage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125"/>
              <w:spacing w:after="0" w:line="125"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w w:val="98"/>
              </w:rPr>
              <w:t>(in thousands, except percentages)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2,734,241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1,831,694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500,622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22"/>
        </w:trPr>
        <w:tc>
          <w:tcPr>
            <w:tcW w:w="3940" w:type="dxa"/>
            <w:vAlign w:val="bottom"/>
          </w:tcPr>
          <w:p>
            <w:pPr>
              <w:ind w:left="20"/>
              <w:spacing w:after="0"/>
              <w:rPr>
                <w:sz w:val="20"/>
                <w:szCs w:val="20"/>
                <w:color w:val="auto"/>
              </w:rPr>
            </w:pPr>
            <w:r>
              <w:rPr>
                <w:rFonts w:ascii="Arial" w:cs="Arial" w:eastAsia="Arial" w:hAnsi="Arial"/>
                <w:sz w:val="17"/>
                <w:szCs w:val="17"/>
                <w:color w:val="auto"/>
              </w:rPr>
              <w:t>APAC</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564,120</w:t>
            </w:r>
          </w:p>
        </w:tc>
        <w:tc>
          <w:tcPr>
            <w:tcW w:w="1340" w:type="dxa"/>
            <w:vAlign w:val="bottom"/>
            <w:gridSpan w:val="3"/>
          </w:tcPr>
          <w:p>
            <w:pPr>
              <w:jc w:val="right"/>
              <w:ind w:right="12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332,844</w:t>
            </w:r>
          </w:p>
        </w:tc>
        <w:tc>
          <w:tcPr>
            <w:tcW w:w="1360" w:type="dxa"/>
            <w:vAlign w:val="bottom"/>
            <w:gridSpan w:val="3"/>
          </w:tcPr>
          <w:p>
            <w:pPr>
              <w:jc w:val="right"/>
              <w:ind w:right="145"/>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51,152</w:t>
            </w:r>
          </w:p>
        </w:tc>
        <w:tc>
          <w:tcPr>
            <w:tcW w:w="1340" w:type="dxa"/>
            <w:vAlign w:val="bottom"/>
            <w:gridSpan w:val="3"/>
          </w:tcPr>
          <w:p>
            <w:pPr>
              <w:jc w:val="right"/>
              <w:ind w:right="12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2"/>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801,503</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486,830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70,884</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5"/>
        </w:trPr>
        <w:tc>
          <w:tcPr>
            <w:tcW w:w="394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4,099,864</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2,651,368</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622,658</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$59.7 million and $24.6 million as of January 31, 2022 and 2021, respectively.</w:t>
      </w:r>
    </w:p>
    <w:p>
      <w:pPr>
        <w:spacing w:after="0" w:line="5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2022, 2021, and 2020 that was included in deferred revenue at the beginning of each period was $858.2 million, $222.0 million, and $119.1 million, respectively.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terms of our subscription agreements are monthly, annual, and multiyear and we may bill for the full term in advance or on an annual, quarterly, or monthly basis, depending on the billing terms with customers. As of January 31, 2022, the aggregate amount of the transaction price allocated to our remaining performance obligations was $2,647.6 million, which consists of both billed consideration in the amount of $1,179.9 million and unbilled consideration in the amount of $1,467.7 million that we expect to recognize as revenue. We expect to recognize 63% of our remaining performance obligations as revenue over the next 12 months and the remainder thereafter.</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to Obtain a Contract</w:t>
      </w:r>
    </w:p>
    <w:p>
      <w:pPr>
        <w:spacing w:after="0" w:line="118"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3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platform and related significant features. Amortization of deferred contract acquisition costs is included in sales and marketing expense in the consolidated statements of operations.</w:t>
      </w:r>
    </w:p>
    <w:p>
      <w:pPr>
        <w:spacing w:after="0" w:line="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represents a rollforward of deferred contract acquisition costs: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Year Ended January 31,</w:t>
            </w:r>
          </w:p>
        </w:tc>
      </w:tr>
      <w:tr>
        <w:trPr>
          <w:trHeight w:val="181"/>
        </w:trPr>
        <w:tc>
          <w:tcPr>
            <w:tcW w:w="7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11"/>
        </w:trPr>
        <w:tc>
          <w:tcPr>
            <w:tcW w:w="7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418"/>
              <w:spacing w:after="0"/>
              <w:rPr>
                <w:sz w:val="20"/>
                <w:szCs w:val="20"/>
                <w:color w:val="auto"/>
              </w:rPr>
            </w:pPr>
            <w:r>
              <w:rPr>
                <w:rFonts w:ascii="Arial" w:cs="Arial" w:eastAsia="Arial" w:hAnsi="Arial"/>
                <w:sz w:val="17"/>
                <w:szCs w:val="17"/>
                <w:color w:val="auto"/>
                <w:w w:val="94"/>
              </w:rPr>
              <w:t>293,892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91,130</w:t>
            </w:r>
          </w:p>
        </w:tc>
      </w:tr>
      <w:tr>
        <w:trPr>
          <w:trHeight w:val="222"/>
        </w:trPr>
        <w:tc>
          <w:tcPr>
            <w:tcW w:w="7960" w:type="dxa"/>
            <w:vAlign w:val="bottom"/>
          </w:tcPr>
          <w:p>
            <w:pPr>
              <w:ind w:left="340"/>
              <w:spacing w:after="0"/>
              <w:rPr>
                <w:sz w:val="20"/>
                <w:szCs w:val="20"/>
                <w:color w:val="auto"/>
              </w:rPr>
            </w:pPr>
            <w:r>
              <w:rPr>
                <w:rFonts w:ascii="Arial" w:cs="Arial" w:eastAsia="Arial" w:hAnsi="Arial"/>
                <w:sz w:val="17"/>
                <w:szCs w:val="17"/>
                <w:color w:val="auto"/>
              </w:rPr>
              <w:t>Additions to deferred contract acquisition costs</w:t>
            </w:r>
          </w:p>
        </w:tc>
        <w:tc>
          <w:tcPr>
            <w:tcW w:w="380" w:type="dxa"/>
            <w:vAlign w:val="bottom"/>
          </w:tcPr>
          <w:p>
            <w:pPr>
              <w:spacing w:after="0"/>
              <w:rPr>
                <w:sz w:val="19"/>
                <w:szCs w:val="19"/>
                <w:color w:val="auto"/>
              </w:rPr>
            </w:pPr>
          </w:p>
        </w:tc>
        <w:tc>
          <w:tcPr>
            <w:tcW w:w="1200" w:type="dxa"/>
            <w:vAlign w:val="bottom"/>
          </w:tcPr>
          <w:p>
            <w:pPr>
              <w:jc w:val="center"/>
              <w:ind w:left="418"/>
              <w:spacing w:after="0"/>
              <w:rPr>
                <w:sz w:val="20"/>
                <w:szCs w:val="20"/>
                <w:color w:val="auto"/>
              </w:rPr>
            </w:pPr>
            <w:r>
              <w:rPr>
                <w:rFonts w:ascii="Arial" w:cs="Arial" w:eastAsia="Arial" w:hAnsi="Arial"/>
                <w:sz w:val="17"/>
                <w:szCs w:val="17"/>
                <w:color w:val="auto"/>
                <w:w w:val="94"/>
              </w:rPr>
              <w:t>247,371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307,068</w:t>
            </w:r>
          </w:p>
        </w:tc>
      </w:tr>
      <w:tr>
        <w:trPr>
          <w:trHeight w:val="222"/>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deferred contract acquisition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98"/>
              <w:spacing w:after="0"/>
              <w:rPr>
                <w:sz w:val="20"/>
                <w:szCs w:val="20"/>
                <w:color w:val="auto"/>
              </w:rPr>
            </w:pPr>
            <w:r>
              <w:rPr>
                <w:rFonts w:ascii="Arial" w:cs="Arial" w:eastAsia="Arial" w:hAnsi="Arial"/>
                <w:sz w:val="17"/>
                <w:szCs w:val="17"/>
                <w:color w:val="auto"/>
                <w:w w:val="93"/>
              </w:rPr>
              <w:t>(177,283)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(104,306)</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center"/>
              <w:ind w:left="418"/>
              <w:spacing w:after="0"/>
              <w:rPr>
                <w:sz w:val="20"/>
                <w:szCs w:val="20"/>
                <w:color w:val="auto"/>
              </w:rPr>
            </w:pPr>
            <w:r>
              <w:rPr>
                <w:rFonts w:ascii="Arial" w:cs="Arial" w:eastAsia="Arial" w:hAnsi="Arial"/>
                <w:sz w:val="17"/>
                <w:szCs w:val="17"/>
                <w:color w:val="auto"/>
                <w:w w:val="94"/>
              </w:rPr>
              <w:t>363,980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293,892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contract acquisition costs, current (to be amortized in next 12 months)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418"/>
              <w:spacing w:after="0"/>
              <w:rPr>
                <w:sz w:val="20"/>
                <w:szCs w:val="20"/>
                <w:color w:val="auto"/>
              </w:rPr>
            </w:pPr>
            <w:r>
              <w:rPr>
                <w:rFonts w:ascii="Arial" w:cs="Arial" w:eastAsia="Arial" w:hAnsi="Arial"/>
                <w:sz w:val="17"/>
                <w:szCs w:val="17"/>
                <w:color w:val="auto"/>
                <w:w w:val="94"/>
              </w:rPr>
              <w:t>199,266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136,630</w:t>
            </w:r>
          </w:p>
        </w:tc>
      </w:tr>
      <w:tr>
        <w:trPr>
          <w:trHeight w:val="222"/>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Deferred contract acquisition costs, noncurrent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18"/>
              <w:spacing w:after="0"/>
              <w:rPr>
                <w:sz w:val="20"/>
                <w:szCs w:val="20"/>
                <w:color w:val="auto"/>
              </w:rPr>
            </w:pPr>
            <w:r>
              <w:rPr>
                <w:rFonts w:ascii="Arial" w:cs="Arial" w:eastAsia="Arial" w:hAnsi="Arial"/>
                <w:sz w:val="17"/>
                <w:szCs w:val="17"/>
                <w:color w:val="auto"/>
                <w:w w:val="94"/>
              </w:rPr>
              <w:t>164,714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157,262</w:t>
            </w: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deferred contract acquisition costs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center"/>
              <w:ind w:left="418"/>
              <w:spacing w:after="0"/>
              <w:rPr>
                <w:sz w:val="20"/>
                <w:szCs w:val="20"/>
                <w:color w:val="auto"/>
              </w:rPr>
            </w:pPr>
            <w:r>
              <w:rPr>
                <w:rFonts w:ascii="Arial" w:cs="Arial" w:eastAsia="Arial" w:hAnsi="Arial"/>
                <w:sz w:val="17"/>
                <w:szCs w:val="17"/>
                <w:color w:val="auto"/>
                <w:w w:val="94"/>
              </w:rPr>
              <w:t>363,980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293,892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80" w:right="9200" w:hanging="475"/>
        <w:spacing w:after="0" w:line="440" w:lineRule="auto"/>
        <w:tabs>
          <w:tab w:leader="none" w:pos="314"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Investments </w:t>
      </w:r>
      <w:r>
        <w:rPr>
          <w:rFonts w:ascii="Arial" w:cs="Arial" w:eastAsia="Arial" w:hAnsi="Arial"/>
          <w:sz w:val="15"/>
          <w:szCs w:val="15"/>
          <w:b w:val="1"/>
          <w:bCs w:val="1"/>
          <w:i w:val="1"/>
          <w:iCs w:val="1"/>
          <w:color w:val="auto"/>
        </w:rPr>
        <w:t>Marketable Securities</w:t>
      </w:r>
    </w:p>
    <w:p>
      <w:pPr>
        <w:ind w:left="480"/>
        <w:spacing w:after="0"/>
        <w:rPr>
          <w:rFonts w:ascii="Arial" w:cs="Arial" w:eastAsia="Arial" w:hAnsi="Arial"/>
          <w:sz w:val="15"/>
          <w:szCs w:val="15"/>
          <w:b w:val="1"/>
          <w:bCs w:val="1"/>
          <w:color w:val="auto"/>
        </w:rPr>
      </w:pPr>
      <w:r>
        <w:rPr>
          <w:rFonts w:ascii="Arial" w:cs="Arial" w:eastAsia="Arial" w:hAnsi="Arial"/>
          <w:sz w:val="17"/>
          <w:szCs w:val="17"/>
          <w:color w:val="auto"/>
        </w:rPr>
        <w:t>As of January 31, 2022 and 2021, our marketable securities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As of January 31, 2022</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080" w:type="dxa"/>
            <w:vAlign w:val="bottom"/>
          </w:tcPr>
          <w:p>
            <w:pPr>
              <w:jc w:val="center"/>
              <w:ind w:right="159"/>
              <w:spacing w:after="0" w:line="12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28,723</w:t>
            </w:r>
          </w:p>
        </w:tc>
        <w:tc>
          <w:tcPr>
            <w:tcW w:w="0" w:type="dxa"/>
            <w:vAlign w:val="bottom"/>
          </w:tcPr>
          <w:p>
            <w:pPr>
              <w:spacing w:after="0"/>
              <w:rPr>
                <w:sz w:val="1"/>
                <w:szCs w:val="1"/>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632,935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629,609</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280,927</w:t>
            </w:r>
          </w:p>
        </w:tc>
        <w:tc>
          <w:tcPr>
            <w:tcW w:w="0" w:type="dxa"/>
            <w:vAlign w:val="bottom"/>
          </w:tcPr>
          <w:p>
            <w:pPr>
              <w:spacing w:after="0"/>
              <w:rPr>
                <w:sz w:val="1"/>
                <w:szCs w:val="1"/>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3,046,742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3,027,509</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389,678</w:t>
            </w:r>
          </w:p>
        </w:tc>
        <w:tc>
          <w:tcPr>
            <w:tcW w:w="0" w:type="dxa"/>
            <w:vAlign w:val="bottom"/>
          </w:tcPr>
          <w:p>
            <w:pPr>
              <w:spacing w:after="0"/>
              <w:rPr>
                <w:sz w:val="1"/>
                <w:szCs w:val="1"/>
                <w:color w:val="auto"/>
              </w:rPr>
            </w:pPr>
          </w:p>
        </w:tc>
      </w:tr>
      <w:tr>
        <w:trPr>
          <w:trHeight w:val="215"/>
        </w:trPr>
        <w:tc>
          <w:tcPr>
            <w:tcW w:w="5620" w:type="dxa"/>
            <w:vAlign w:val="bottom"/>
          </w:tcPr>
          <w:p>
            <w:pPr>
              <w:ind w:left="34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4,380,350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(23,939)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4,356,446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As of January 31, 2021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080" w:type="dxa"/>
            <w:vAlign w:val="bottom"/>
          </w:tcPr>
          <w:p>
            <w:pPr>
              <w:jc w:val="center"/>
              <w:ind w:right="159"/>
              <w:spacing w:after="0" w:line="12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26,222</w:t>
            </w:r>
          </w:p>
        </w:tc>
        <w:tc>
          <w:tcPr>
            <w:tcW w:w="0" w:type="dxa"/>
            <w:vAlign w:val="bottom"/>
          </w:tcPr>
          <w:p>
            <w:pPr>
              <w:spacing w:after="0"/>
              <w:rPr>
                <w:sz w:val="1"/>
                <w:szCs w:val="1"/>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461,335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461,365</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466,256</w:t>
            </w:r>
          </w:p>
        </w:tc>
        <w:tc>
          <w:tcPr>
            <w:tcW w:w="0" w:type="dxa"/>
            <w:vAlign w:val="bottom"/>
          </w:tcPr>
          <w:p>
            <w:pPr>
              <w:spacing w:after="0"/>
              <w:rPr>
                <w:sz w:val="1"/>
                <w:szCs w:val="1"/>
                <w:color w:val="auto"/>
              </w:rPr>
            </w:pP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834,894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834,665</w:t>
            </w:r>
          </w:p>
        </w:tc>
        <w:tc>
          <w:tcPr>
            <w:tcW w:w="0" w:type="dxa"/>
            <w:vAlign w:val="bottom"/>
          </w:tcPr>
          <w:p>
            <w:pPr>
              <w:spacing w:after="0"/>
              <w:rPr>
                <w:sz w:val="1"/>
                <w:szCs w:val="1"/>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215,902</w:t>
            </w:r>
          </w:p>
        </w:tc>
        <w:tc>
          <w:tcPr>
            <w:tcW w:w="0" w:type="dxa"/>
            <w:vAlign w:val="bottom"/>
          </w:tcPr>
          <w:p>
            <w:pPr>
              <w:spacing w:after="0"/>
              <w:rPr>
                <w:sz w:val="1"/>
                <w:szCs w:val="1"/>
                <w:color w:val="auto"/>
              </w:rPr>
            </w:pPr>
          </w:p>
        </w:tc>
      </w:tr>
      <w:tr>
        <w:trPr>
          <w:trHeight w:val="215"/>
        </w:trPr>
        <w:tc>
          <w:tcPr>
            <w:tcW w:w="5620" w:type="dxa"/>
            <w:vAlign w:val="bottom"/>
          </w:tcPr>
          <w:p>
            <w:pPr>
              <w:ind w:left="34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2,003,560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2,004,410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(loss) income for the fiscal years ended January 31, 2022, 2021, and 2020.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contractual maturities of our marketable securities as of January 31, 2022 and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than one year</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2,387,139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1,017,048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Due in one to five years</w:t>
            </w:r>
          </w:p>
        </w:tc>
        <w:tc>
          <w:tcPr>
            <w:tcW w:w="3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1,969,307</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4,356,446</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ind w:right="480"/>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2,004,410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7"/>
                <w:szCs w:val="17"/>
                <w:b w:val="1"/>
                <w:bCs w:val="1"/>
                <w:i w:val="1"/>
                <w:iCs w:val="1"/>
                <w:color w:val="auto"/>
              </w:rPr>
              <w:t>Strategic Investments</w:t>
            </w:r>
          </w:p>
        </w:tc>
        <w:tc>
          <w:tcPr>
            <w:tcW w:w="3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gridSpan w:val="7"/>
          </w:tcPr>
          <w:p>
            <w:pPr>
              <w:ind w:left="480"/>
              <w:spacing w:after="0"/>
              <w:rPr>
                <w:sz w:val="20"/>
                <w:szCs w:val="20"/>
                <w:color w:val="auto"/>
              </w:rPr>
            </w:pPr>
            <w:r>
              <w:rPr>
                <w:rFonts w:ascii="Arial" w:cs="Arial" w:eastAsia="Arial" w:hAnsi="Arial"/>
                <w:sz w:val="17"/>
                <w:szCs w:val="17"/>
                <w:color w:val="auto"/>
                <w:w w:val="98"/>
              </w:rPr>
              <w:t>Strategic investments by form and measurement category as of January 31, 2022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580"/>
              <w:spacing w:after="0"/>
              <w:rPr>
                <w:sz w:val="20"/>
                <w:szCs w:val="20"/>
                <w:color w:val="auto"/>
              </w:rPr>
            </w:pPr>
            <w:r>
              <w:rPr>
                <w:rFonts w:ascii="Arial" w:cs="Arial" w:eastAsia="Arial" w:hAnsi="Arial"/>
                <w:sz w:val="14"/>
                <w:szCs w:val="14"/>
                <w:b w:val="1"/>
                <w:bCs w:val="1"/>
                <w:color w:val="auto"/>
                <w:w w:val="90"/>
              </w:rPr>
              <w:t>Measurement Category</w:t>
            </w: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Measurement Alternative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Equity Method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0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91,399</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Debt securities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Strategic investments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183,015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91,399</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367,814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Strategic investments by form and measurement category as of January 31, 2021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Measurement Category</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1"/>
        </w:trPr>
        <w:tc>
          <w:tcPr>
            <w:tcW w:w="438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Measurement Alternative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 Method</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Total</w:t>
            </w:r>
          </w:p>
        </w:tc>
      </w:tr>
      <w:tr>
        <w:trPr>
          <w:trHeight w:val="211"/>
        </w:trPr>
        <w:tc>
          <w:tcPr>
            <w:tcW w:w="4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w:t>
            </w:r>
          </w:p>
        </w:tc>
      </w:tr>
      <w:tr>
        <w:trPr>
          <w:trHeight w:val="222"/>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Debt securities</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5,130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5,130</w:t>
            </w:r>
          </w:p>
        </w:tc>
      </w:tr>
      <w:tr>
        <w:trPr>
          <w:trHeight w:val="235"/>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Strategic investments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5,130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the second quarter of fiscal year 2022, we made a $75.0 million strategic investment of common shares of a technology company in a private placement concurrent with the investee company’s initial public offering. The shares are subject to a 180-day lock-up agreement. We recorded a gain of $26.3 million related to this investment for the fiscal year ended January 31, 2022. As of January 31, 2022, the fair value of the investment was $101.3 million and our ownership interest represents approximately one percent of the economic interest of the investee’s outstanding capital stock.</w:t>
      </w:r>
    </w:p>
    <w:p>
      <w:pPr>
        <w:spacing w:after="0" w:line="5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the third quarter of fiscal year 2022, we made an additional strategic investment in equity securities of a private company. Based on the terms of these privately-held securities, we determined that we currently do not have a controlling interest but have the ability to exercise significant influence over the operating and financial policies of the investee. Therefore this investment is currently accounted for under the equity method. The fair value of the investment was remeasured immediately before adopting the equity method of accounting, based on the observable price from the most recent financing round. The carrying value of this investment was also adjusted by our share of the equity method investee’s operating result for the respective period, which was immaterial for the fiscal year ended January 31, 2022. As a result, we recognized a total gain of $49.9 million on the existing investment during the third quarter of fiscal year 2022. As of January 31, 2022, the carrying amount of this investment was $93.4 million.</w:t>
      </w:r>
    </w:p>
    <w:p>
      <w:pPr>
        <w:spacing w:after="0" w:line="8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fourth quarter of fiscal year 2022, we made a $100.0 million strategic investment of common shares of a software company in a private placement concurrent with the investee company’s merger. We recorded a loss of $32.5 million related to this investment for the fiscal year ended January 31, 2022. As of January 31, 2022, the fair value of the investment was $67.5 million and our ownership interest represents approximately two percent of the economic interest of the investee’s outstanding capital stock.</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In the fourth quarter of fiscal year 2022, we also made a $75.0 million strategic investment in equity securities of a private company. Based on the terms of these privately-held securities, we determined that we do not have a controlling interest nor the ability to exercise significant influence over the operating and financial policies of the investee. Therefore this investment is currently accounted for under the measurement alternative method. No gain or loss was recorded related to this investment for the fiscal year ended January 31, 2022. As of January 31, 2022, the carrying amount of this investment was $75.0 million.</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Fair Value Measurements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As of January 31,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1"/>
        </w:trPr>
        <w:tc>
          <w:tcPr>
            <w:tcW w:w="5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8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688,722</w:t>
            </w:r>
          </w:p>
        </w:tc>
        <w:tc>
          <w:tcPr>
            <w:tcW w:w="40" w:type="dxa"/>
            <w:vAlign w:val="bottom"/>
          </w:tcPr>
          <w:p>
            <w:pPr>
              <w:spacing w:after="0"/>
              <w:rPr>
                <w:sz w:val="19"/>
                <w:szCs w:val="19"/>
                <w:color w:val="auto"/>
              </w:rPr>
            </w:pPr>
          </w:p>
        </w:tc>
        <w:tc>
          <w:tcPr>
            <w:tcW w:w="34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688,722</w:t>
            </w:r>
          </w:p>
        </w:tc>
        <w:tc>
          <w:tcPr>
            <w:tcW w:w="40" w:type="dxa"/>
            <w:vAlign w:val="bottom"/>
          </w:tcPr>
          <w:p>
            <w:pPr>
              <w:spacing w:after="0"/>
              <w:rPr>
                <w:sz w:val="19"/>
                <w:szCs w:val="19"/>
                <w:color w:val="auto"/>
              </w:rPr>
            </w:pPr>
          </w:p>
        </w:tc>
        <w:tc>
          <w:tcPr>
            <w:tcW w:w="480" w:type="dxa"/>
            <w:vAlign w:val="bottom"/>
            <w:gridSpan w:val="3"/>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bills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debt securities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equivalents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796,967</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688,722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108,245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28,723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28,723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Agency bonds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629,609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629,609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Corporate and other debt securities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280,927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280,927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government agency securities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3,027,509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3,027,509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Treasury bills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389,678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389,678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Marketable securities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4,356,446</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4,356,446</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Certificates of deposit included in other assets, noncurrent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Publicly held equity securities included in strategic investments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168,784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168,784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Privately held debt securities included in strategic investments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14,231</w:t>
            </w:r>
          </w:p>
        </w:tc>
        <w:tc>
          <w:tcPr>
            <w:tcW w:w="40" w:type="dxa"/>
            <w:vAlign w:val="bottom"/>
            <w:tcBorders>
              <w:bottom w:val="single" w:sz="8" w:color="auto"/>
            </w:tcBorders>
          </w:tcPr>
          <w:p>
            <w:pPr>
              <w:spacing w:after="0"/>
              <w:rPr>
                <w:sz w:val="18"/>
                <w:szCs w:val="18"/>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5,336,725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857,506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4,464,988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14,231</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46"/>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As of January 31, 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5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5"/>
                <w:szCs w:val="15"/>
                <w:color w:val="auto"/>
              </w:rPr>
            </w:pPr>
          </w:p>
        </w:tc>
      </w:tr>
      <w:tr>
        <w:trPr>
          <w:trHeight w:val="211"/>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80" w:type="dxa"/>
            <w:vAlign w:val="bottom"/>
            <w:gridSpan w:val="2"/>
          </w:tcPr>
          <w:p>
            <w:pPr>
              <w:jc w:val="right"/>
              <w:ind w:right="72"/>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958,357</w:t>
            </w:r>
          </w:p>
        </w:tc>
        <w:tc>
          <w:tcPr>
            <w:tcW w:w="40" w:type="dxa"/>
            <w:vAlign w:val="bottom"/>
          </w:tcPr>
          <w:p>
            <w:pPr>
              <w:spacing w:after="0"/>
              <w:rPr>
                <w:sz w:val="19"/>
                <w:szCs w:val="19"/>
                <w:color w:val="auto"/>
              </w:rPr>
            </w:pPr>
          </w:p>
        </w:tc>
        <w:tc>
          <w:tcPr>
            <w:tcW w:w="340" w:type="dxa"/>
            <w:vAlign w:val="bottom"/>
            <w:gridSpan w:val="3"/>
          </w:tcPr>
          <w:p>
            <w:pPr>
              <w:jc w:val="right"/>
              <w:ind w:right="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958,357</w:t>
            </w:r>
          </w:p>
        </w:tc>
        <w:tc>
          <w:tcPr>
            <w:tcW w:w="40" w:type="dxa"/>
            <w:vAlign w:val="bottom"/>
          </w:tcPr>
          <w:p>
            <w:pPr>
              <w:spacing w:after="0"/>
              <w:rPr>
                <w:sz w:val="19"/>
                <w:szCs w:val="19"/>
                <w:color w:val="auto"/>
              </w:rPr>
            </w:pPr>
          </w:p>
        </w:tc>
        <w:tc>
          <w:tcPr>
            <w:tcW w:w="480" w:type="dxa"/>
            <w:vAlign w:val="bottom"/>
            <w:gridSpan w:val="3"/>
          </w:tcPr>
          <w:p>
            <w:pPr>
              <w:jc w:val="right"/>
              <w:ind w:right="233"/>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Treasury bills</w:t>
            </w:r>
          </w:p>
        </w:tc>
        <w:tc>
          <w:tcPr>
            <w:tcW w:w="280" w:type="dxa"/>
            <w:vAlign w:val="bottom"/>
            <w:tcBorders>
              <w:right w:val="single" w:sz="8" w:color="CCEEFF"/>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5"/>
        </w:trPr>
        <w:tc>
          <w:tcPr>
            <w:tcW w:w="53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Cash equivalents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1,576,855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958,357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618,498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Agency bonds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461,365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461,365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other debt securities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834,665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834,665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bills</w:t>
            </w: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15"/>
        </w:trPr>
        <w:tc>
          <w:tcPr>
            <w:tcW w:w="53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Marketable securities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2,004,410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2,004,410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Certificate of deposit included in prepaid expenses and other current assets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Certificates of deposit included in other assets, noncurrent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Privately held debt securities included in strategic investments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5,130</w:t>
            </w:r>
          </w:p>
        </w:tc>
        <w:tc>
          <w:tcPr>
            <w:tcW w:w="40" w:type="dxa"/>
            <w:vAlign w:val="bottom"/>
          </w:tcPr>
          <w:p>
            <w:pPr>
              <w:spacing w:after="0"/>
              <w:rPr>
                <w:sz w:val="18"/>
                <w:szCs w:val="18"/>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7"/>
                <w:szCs w:val="17"/>
                <w:color w:val="auto"/>
              </w:rPr>
              <w:t>Total financial assets</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3,588,733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958,357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2,625,246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5,130</w:t>
            </w:r>
          </w:p>
        </w:tc>
        <w:tc>
          <w:tcPr>
            <w:tcW w:w="4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5"/>
        </w:trPr>
        <w:tc>
          <w:tcPr>
            <w:tcW w:w="5380" w:type="dxa"/>
            <w:vAlign w:val="bottom"/>
          </w:tcPr>
          <w:p>
            <w:pPr>
              <w:spacing w:after="0"/>
              <w:rPr>
                <w:sz w:val="24"/>
                <w:szCs w:val="24"/>
                <w:color w:val="auto"/>
              </w:rPr>
            </w:pPr>
          </w:p>
        </w:tc>
        <w:tc>
          <w:tcPr>
            <w:tcW w:w="480" w:type="dxa"/>
            <w:vAlign w:val="bottom"/>
            <w:gridSpan w:val="2"/>
          </w:tcPr>
          <w:p>
            <w:pPr>
              <w:jc w:val="right"/>
              <w:ind w:right="72"/>
              <w:spacing w:after="0"/>
              <w:rPr>
                <w:sz w:val="20"/>
                <w:szCs w:val="20"/>
                <w:color w:val="auto"/>
              </w:rPr>
            </w:pPr>
            <w:r>
              <w:rPr>
                <w:rFonts w:ascii="Arial" w:cs="Arial" w:eastAsia="Arial" w:hAnsi="Arial"/>
                <w:sz w:val="17"/>
                <w:szCs w:val="17"/>
                <w:color w:val="auto"/>
              </w:rPr>
              <w:t>78</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5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3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Business Combinations</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May 7, 2020, we acquired 100% of the issued and outstanding share capital of Keybase, Inc. (“Keybase”), a secure messaging and file-sharing company, for purchase consideration of $42.9 million in cash. The acquisition helps us strengthen the security of our unified communications platform by providing end-to-end encryption expertise. The acquisition has been accounted for as a business combination.</w:t>
      </w:r>
    </w:p>
    <w:p>
      <w:pPr>
        <w:spacing w:after="0" w:line="6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3.3 years as of January 31, 2022, and is amortized using the straight-line method over its estimated useful life.</w:t>
      </w:r>
    </w:p>
    <w:p>
      <w:pPr>
        <w:spacing w:after="0" w:line="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year to three years.</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Transaction costs incurred in connection with the acquisition were immaterial. The results of operations of Keybase have been included in our consolidated financial statements from the date of the acquisition. Pro forma and historical results of operations of Keybase have not been presented, as the results do not have a material effect on any of the periods presented in our consolidated statements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112,666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60,702</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Restricted cash from international employee stock sales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50,475</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5,642</w:t>
            </w:r>
          </w:p>
        </w:tc>
        <w:tc>
          <w:tcPr>
            <w:tcW w:w="0" w:type="dxa"/>
            <w:vAlign w:val="bottom"/>
          </w:tcPr>
          <w:p>
            <w:pPr>
              <w:spacing w:after="0"/>
              <w:rPr>
                <w:sz w:val="1"/>
                <w:szCs w:val="1"/>
                <w:color w:val="auto"/>
              </w:rPr>
            </w:pPr>
          </w:p>
        </w:tc>
      </w:tr>
      <w:tr>
        <w:trPr>
          <w:trHeight w:val="215"/>
        </w:trPr>
        <w:tc>
          <w:tcPr>
            <w:tcW w:w="780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145,602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116,819</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ind w:left="480"/>
              <w:spacing w:after="0"/>
              <w:rPr>
                <w:sz w:val="20"/>
                <w:szCs w:val="20"/>
                <w:color w:val="auto"/>
              </w:rPr>
            </w:pPr>
            <w:r>
              <w:rPr>
                <w:rFonts w:ascii="Arial" w:cs="Arial" w:eastAsia="Arial" w:hAnsi="Arial"/>
                <w:sz w:val="17"/>
                <w:szCs w:val="17"/>
                <w:color w:val="auto"/>
              </w:rPr>
              <w:t>Property and equipment consisted of the following:</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January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224,901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137,445</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Software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59,153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36,216</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23,593</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4,625</w:t>
            </w:r>
          </w:p>
        </w:tc>
        <w:tc>
          <w:tcPr>
            <w:tcW w:w="0" w:type="dxa"/>
            <w:vAlign w:val="bottom"/>
          </w:tcPr>
          <w:p>
            <w:pPr>
              <w:spacing w:after="0"/>
              <w:rPr>
                <w:sz w:val="1"/>
                <w:szCs w:val="1"/>
                <w:color w:val="auto"/>
              </w:rPr>
            </w:pPr>
          </w:p>
        </w:tc>
      </w:tr>
      <w:tr>
        <w:trPr>
          <w:trHeight w:val="215"/>
        </w:trPr>
        <w:tc>
          <w:tcPr>
            <w:tcW w:w="7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gross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313,959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201,879</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(91,605)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(51,955)</w:t>
            </w:r>
          </w:p>
        </w:tc>
        <w:tc>
          <w:tcPr>
            <w:tcW w:w="0" w:type="dxa"/>
            <w:vAlign w:val="bottom"/>
          </w:tcPr>
          <w:p>
            <w:pPr>
              <w:spacing w:after="0"/>
              <w:rPr>
                <w:sz w:val="1"/>
                <w:szCs w:val="1"/>
                <w:color w:val="auto"/>
              </w:rPr>
            </w:pPr>
          </w:p>
        </w:tc>
      </w:tr>
      <w:tr>
        <w:trPr>
          <w:trHeight w:val="240"/>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Property and equipment, net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222,354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149,924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Depreciation and amortization expense was $47.5 million, $28.4 million, and $16.4 million for the fiscal years ended January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Assets, Noncurrent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assets, noncurrent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noncurrent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28,008</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Prepaid expense, noncurrent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16,120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12,386</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34,998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15,372</w:t>
            </w:r>
          </w:p>
        </w:tc>
        <w:tc>
          <w:tcPr>
            <w:tcW w:w="0" w:type="dxa"/>
            <w:vAlign w:val="bottom"/>
          </w:tcPr>
          <w:p>
            <w:pPr>
              <w:spacing w:after="0"/>
              <w:rPr>
                <w:sz w:val="1"/>
                <w:szCs w:val="1"/>
                <w:color w:val="auto"/>
              </w:rPr>
            </w:pPr>
          </w:p>
        </w:tc>
      </w:tr>
      <w:tr>
        <w:trPr>
          <w:trHeight w:val="215"/>
        </w:trPr>
        <w:tc>
          <w:tcPr>
            <w:tcW w:w="7800" w:type="dxa"/>
            <w:vAlign w:val="bottom"/>
          </w:tcPr>
          <w:p>
            <w:pPr>
              <w:ind w:left="340"/>
              <w:spacing w:after="0"/>
              <w:rPr>
                <w:sz w:val="20"/>
                <w:szCs w:val="20"/>
                <w:color w:val="auto"/>
              </w:rPr>
            </w:pPr>
            <w:r>
              <w:rPr>
                <w:rFonts w:ascii="Arial" w:cs="Arial" w:eastAsia="Arial" w:hAnsi="Arial"/>
                <w:sz w:val="17"/>
                <w:szCs w:val="17"/>
                <w:color w:val="auto"/>
              </w:rPr>
              <w:t>Other assets, noncurrent</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106,761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55,766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7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ind w:left="480"/>
              <w:spacing w:after="0"/>
              <w:rPr>
                <w:sz w:val="20"/>
                <w:szCs w:val="20"/>
                <w:color w:val="auto"/>
              </w:rPr>
            </w:pPr>
            <w:r>
              <w:rPr>
                <w:rFonts w:ascii="Arial" w:cs="Arial" w:eastAsia="Arial" w:hAnsi="Arial"/>
                <w:sz w:val="17"/>
                <w:szCs w:val="17"/>
                <w:color w:val="auto"/>
              </w:rPr>
              <w:t>Accrued expenses and other current liabilities consisted of the following:</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January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149,658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157,167</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Accrued compensation and benefits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126,322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118,640</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liability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3,426</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Sales and other tax liabilities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33,305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27,453</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deposit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Operating lease liabilities, current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20,697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15,601</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employee equity transactions to be remitted to employees and tax authorities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54,174</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w:t>
            </w:r>
          </w:p>
        </w:tc>
        <w:tc>
          <w:tcPr>
            <w:tcW w:w="0" w:type="dxa"/>
            <w:vAlign w:val="bottom"/>
          </w:tcPr>
          <w:p>
            <w:pPr>
              <w:spacing w:after="0"/>
              <w:rPr>
                <w:sz w:val="1"/>
                <w:szCs w:val="1"/>
                <w:color w:val="auto"/>
              </w:rPr>
            </w:pPr>
          </w:p>
        </w:tc>
      </w:tr>
      <w:tr>
        <w:trPr>
          <w:trHeight w:val="240"/>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430,415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393,018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b w:val="1"/>
                <w:bCs w:val="1"/>
                <w:i w:val="1"/>
                <w:iCs w:val="1"/>
                <w:color w:val="auto"/>
              </w:rPr>
              <w:t>Other Liabilities, Noncurrent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7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ind w:left="480"/>
              <w:spacing w:after="0"/>
              <w:rPr>
                <w:sz w:val="20"/>
                <w:szCs w:val="20"/>
                <w:color w:val="auto"/>
              </w:rPr>
            </w:pPr>
            <w:r>
              <w:rPr>
                <w:rFonts w:ascii="Arial" w:cs="Arial" w:eastAsia="Arial" w:hAnsi="Arial"/>
                <w:sz w:val="17"/>
                <w:szCs w:val="17"/>
                <w:color w:val="auto"/>
              </w:rPr>
              <w:t>Other liabilities, noncurrent consisted of the following:</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January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other tax liabilities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58,133</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3,501</w:t>
            </w:r>
          </w:p>
        </w:tc>
        <w:tc>
          <w:tcPr>
            <w:tcW w:w="0" w:type="dxa"/>
            <w:vAlign w:val="bottom"/>
          </w:tcPr>
          <w:p>
            <w:pPr>
              <w:spacing w:after="0"/>
              <w:rPr>
                <w:sz w:val="1"/>
                <w:szCs w:val="1"/>
                <w:color w:val="auto"/>
              </w:rPr>
            </w:pPr>
          </w:p>
        </w:tc>
      </w:tr>
      <w:tr>
        <w:trPr>
          <w:trHeight w:val="240"/>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liabilities, noncurrent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61,634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Operating Leases</w:t>
      </w:r>
    </w:p>
    <w:p>
      <w:pPr>
        <w:spacing w:after="0" w:line="124"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 xml:space="preserve">We have entered into various operating lease agreements for office space, with remaining contractual periods of up to 8 years. We also enter into equipment operating lease agreements related to our HaaS offering. As a practical expedient, we account for HaaS with customers as a combined performance obligation with the right to access our unified communications platform under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HaaS was immaterial to our consolidated financial statements.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2022, 2021 and 2020 was $22.8 million, $14.5 million and $9.7 million, respectively, excluding short-term lease costs, variable lease costs, and sublease income, each of which was immaterial for the fiscal years ended January 31, 2022, 2021 and 2020.</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balance sheet information related to operating leases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w w:val="98"/>
              </w:rPr>
              <w:t>(in thousands, except life and percentages)</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Reported as: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60" w:type="dxa"/>
            <w:vAlign w:val="bottom"/>
          </w:tcPr>
          <w:p>
            <w:pPr>
              <w:ind w:left="20"/>
              <w:spacing w:after="0"/>
              <w:rPr>
                <w:sz w:val="20"/>
                <w:szCs w:val="20"/>
                <w:color w:val="auto"/>
              </w:rPr>
            </w:pPr>
            <w:r>
              <w:rPr>
                <w:rFonts w:ascii="Arial" w:cs="Arial" w:eastAsia="Arial" w:hAnsi="Arial"/>
                <w:sz w:val="17"/>
                <w:szCs w:val="17"/>
                <w:color w:val="auto"/>
              </w:rPr>
              <w:t>Assets: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 right-of-use assets</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95,965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97,649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Liabilities:</w:t>
            </w: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20,697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15,601</w:t>
            </w:r>
          </w:p>
        </w:tc>
        <w:tc>
          <w:tcPr>
            <w:tcW w:w="0" w:type="dxa"/>
            <w:vAlign w:val="bottom"/>
          </w:tcPr>
          <w:p>
            <w:pPr>
              <w:spacing w:after="0"/>
              <w:rPr>
                <w:sz w:val="1"/>
                <w:szCs w:val="1"/>
                <w:color w:val="auto"/>
              </w:rPr>
            </w:pPr>
          </w:p>
        </w:tc>
      </w:tr>
      <w:tr>
        <w:trPr>
          <w:trHeight w:val="222"/>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Operating lease liabilities, noncurrent</w:t>
            </w:r>
          </w:p>
        </w:tc>
        <w:tc>
          <w:tcPr>
            <w:tcW w:w="1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85,018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90,415</w:t>
            </w:r>
          </w:p>
        </w:tc>
        <w:tc>
          <w:tcPr>
            <w:tcW w:w="0" w:type="dxa"/>
            <w:vAlign w:val="bottom"/>
          </w:tcPr>
          <w:p>
            <w:pPr>
              <w:spacing w:after="0"/>
              <w:rPr>
                <w:sz w:val="1"/>
                <w:szCs w:val="1"/>
                <w:color w:val="auto"/>
              </w:rPr>
            </w:pPr>
          </w:p>
        </w:tc>
      </w:tr>
      <w:tr>
        <w:trPr>
          <w:trHeight w:val="240"/>
        </w:trPr>
        <w:tc>
          <w:tcPr>
            <w:tcW w:w="5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operating lease liabilities</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105,715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106,016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5.1 years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years</w:t>
            </w:r>
          </w:p>
        </w:tc>
        <w:tc>
          <w:tcPr>
            <w:tcW w:w="0" w:type="dxa"/>
            <w:vAlign w:val="bottom"/>
          </w:tcPr>
          <w:p>
            <w:pPr>
              <w:spacing w:after="0"/>
              <w:rPr>
                <w:sz w:val="1"/>
                <w:szCs w:val="1"/>
                <w:color w:val="auto"/>
              </w:rPr>
            </w:pPr>
          </w:p>
        </w:tc>
      </w:tr>
      <w:tr>
        <w:trPr>
          <w:trHeight w:val="222"/>
        </w:trPr>
        <w:tc>
          <w:tcPr>
            <w:tcW w:w="586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510"/>
        </w:trPr>
        <w:tc>
          <w:tcPr>
            <w:tcW w:w="6980" w:type="dxa"/>
            <w:vAlign w:val="bottom"/>
            <w:gridSpan w:val="2"/>
          </w:tcPr>
          <w:p>
            <w:pPr>
              <w:ind w:left="480"/>
              <w:spacing w:after="0"/>
              <w:rPr>
                <w:sz w:val="20"/>
                <w:szCs w:val="20"/>
                <w:color w:val="auto"/>
              </w:rPr>
            </w:pPr>
            <w:r>
              <w:rPr>
                <w:rFonts w:ascii="Arial" w:cs="Arial" w:eastAsia="Arial" w:hAnsi="Arial"/>
                <w:sz w:val="17"/>
                <w:szCs w:val="17"/>
                <w:color w:val="auto"/>
                <w:w w:val="96"/>
              </w:rPr>
              <w:t>Supplemental cash flow and other information related to operating leases was as follows: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Year Ended January 31,</w:t>
            </w: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 included in the measurement of our operating lease liabilities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9,774</w:t>
            </w:r>
          </w:p>
        </w:tc>
        <w:tc>
          <w:tcPr>
            <w:tcW w:w="0" w:type="dxa"/>
            <w:vAlign w:val="bottom"/>
          </w:tcPr>
          <w:p>
            <w:pPr>
              <w:spacing w:after="0"/>
              <w:rPr>
                <w:sz w:val="1"/>
                <w:szCs w:val="1"/>
                <w:color w:val="auto"/>
              </w:rPr>
            </w:pPr>
          </w:p>
        </w:tc>
      </w:tr>
      <w:tr>
        <w:trPr>
          <w:trHeight w:val="171"/>
        </w:trPr>
        <w:tc>
          <w:tcPr>
            <w:tcW w:w="5860" w:type="dxa"/>
            <w:vAlign w:val="bottom"/>
          </w:tcPr>
          <w:p>
            <w:pPr>
              <w:ind w:left="20"/>
              <w:spacing w:after="0" w:line="171" w:lineRule="exact"/>
              <w:rPr>
                <w:sz w:val="20"/>
                <w:szCs w:val="20"/>
                <w:color w:val="auto"/>
              </w:rPr>
            </w:pPr>
            <w:r>
              <w:rPr>
                <w:rFonts w:ascii="Arial" w:cs="Arial" w:eastAsia="Arial" w:hAnsi="Arial"/>
                <w:sz w:val="17"/>
                <w:szCs w:val="17"/>
                <w:color w:val="auto"/>
                <w:w w:val="92"/>
              </w:rPr>
              <w:t>Operating lease right-of-use assets recognized in exchange for new operating lease</w:t>
            </w:r>
          </w:p>
        </w:tc>
        <w:tc>
          <w:tcPr>
            <w:tcW w:w="1120" w:type="dxa"/>
            <w:vAlign w:val="bottom"/>
            <w:vMerge w:val="restart"/>
          </w:tcPr>
          <w:p>
            <w:pPr>
              <w:jc w:val="right"/>
              <w:ind w:right="939"/>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16,784</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39,918</w:t>
            </w:r>
          </w:p>
        </w:tc>
        <w:tc>
          <w:tcPr>
            <w:tcW w:w="100" w:type="dxa"/>
            <w:vAlign w:val="bottom"/>
          </w:tcPr>
          <w:p>
            <w:pPr>
              <w:spacing w:after="0"/>
              <w:rPr>
                <w:sz w:val="14"/>
                <w:szCs w:val="14"/>
                <w:color w:val="auto"/>
              </w:rPr>
            </w:pPr>
          </w:p>
        </w:tc>
        <w:tc>
          <w:tcPr>
            <w:tcW w:w="600" w:type="dxa"/>
            <w:vAlign w:val="bottom"/>
            <w:vMerge w:val="restart"/>
          </w:tcPr>
          <w:p>
            <w:pPr>
              <w:jc w:val="right"/>
              <w:ind w:right="393"/>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34,993</w:t>
            </w:r>
          </w:p>
        </w:tc>
        <w:tc>
          <w:tcPr>
            <w:tcW w:w="0" w:type="dxa"/>
            <w:vAlign w:val="bottom"/>
          </w:tcPr>
          <w:p>
            <w:pPr>
              <w:spacing w:after="0"/>
              <w:rPr>
                <w:sz w:val="1"/>
                <w:szCs w:val="1"/>
                <w:color w:val="auto"/>
              </w:rPr>
            </w:pPr>
          </w:p>
        </w:tc>
      </w:tr>
      <w:tr>
        <w:trPr>
          <w:trHeight w:val="221"/>
        </w:trPr>
        <w:tc>
          <w:tcPr>
            <w:tcW w:w="5860" w:type="dxa"/>
            <w:vAlign w:val="bottom"/>
          </w:tcPr>
          <w:p>
            <w:pPr>
              <w:ind w:left="20"/>
              <w:spacing w:after="0"/>
              <w:rPr>
                <w:sz w:val="20"/>
                <w:szCs w:val="20"/>
                <w:color w:val="auto"/>
              </w:rPr>
            </w:pPr>
            <w:r>
              <w:rPr>
                <w:rFonts w:ascii="Arial" w:cs="Arial" w:eastAsia="Arial" w:hAnsi="Arial"/>
                <w:sz w:val="17"/>
                <w:szCs w:val="17"/>
                <w:color w:val="auto"/>
              </w:rPr>
              <w:t>obligations</w:t>
            </w:r>
          </w:p>
        </w:tc>
        <w:tc>
          <w:tcPr>
            <w:tcW w:w="1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31, 2022, the future minimum lease payments included in the measurement of our operating lease liabilities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As of January 31, 2022</w:t>
            </w:r>
          </w:p>
        </w:tc>
      </w:tr>
      <w:tr>
        <w:trPr>
          <w:trHeight w:val="181"/>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ind w:right="316"/>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Ending January 31,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2"/>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24,491</w:t>
            </w:r>
          </w:p>
        </w:tc>
      </w:tr>
      <w:tr>
        <w:trPr>
          <w:trHeight w:val="22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24,234</w:t>
            </w:r>
          </w:p>
        </w:tc>
      </w:tr>
      <w:tr>
        <w:trPr>
          <w:trHeight w:val="222"/>
        </w:trPr>
        <w:tc>
          <w:tcPr>
            <w:tcW w:w="960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23,552</w:t>
            </w:r>
          </w:p>
        </w:tc>
      </w:tr>
      <w:tr>
        <w:trPr>
          <w:trHeight w:val="22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18,467</w:t>
            </w:r>
          </w:p>
        </w:tc>
      </w:tr>
      <w:tr>
        <w:trPr>
          <w:trHeight w:val="222"/>
        </w:trPr>
        <w:tc>
          <w:tcPr>
            <w:tcW w:w="9600" w:type="dxa"/>
            <w:vAlign w:val="bottom"/>
          </w:tcPr>
          <w:p>
            <w:pPr>
              <w:ind w:left="20"/>
              <w:spacing w:after="0"/>
              <w:rPr>
                <w:sz w:val="20"/>
                <w:szCs w:val="20"/>
                <w:color w:val="auto"/>
              </w:rPr>
            </w:pPr>
            <w:r>
              <w:rPr>
                <w:rFonts w:ascii="Arial" w:cs="Arial" w:eastAsia="Arial" w:hAnsi="Arial"/>
                <w:sz w:val="17"/>
                <w:szCs w:val="17"/>
                <w:color w:val="auto"/>
              </w:rPr>
              <w:t>2027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11,704</w:t>
            </w:r>
          </w:p>
        </w:tc>
      </w:tr>
      <w:tr>
        <w:trPr>
          <w:trHeight w:val="22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15,315</w:t>
            </w:r>
          </w:p>
        </w:tc>
      </w:tr>
      <w:tr>
        <w:trPr>
          <w:trHeight w:val="215"/>
        </w:trPr>
        <w:tc>
          <w:tcPr>
            <w:tcW w:w="9600" w:type="dxa"/>
            <w:vAlign w:val="bottom"/>
          </w:tcPr>
          <w:p>
            <w:pPr>
              <w:ind w:left="220"/>
              <w:spacing w:after="0"/>
              <w:rPr>
                <w:sz w:val="20"/>
                <w:szCs w:val="20"/>
                <w:color w:val="auto"/>
              </w:rPr>
            </w:pPr>
            <w:r>
              <w:rPr>
                <w:rFonts w:ascii="Arial" w:cs="Arial" w:eastAsia="Arial" w:hAnsi="Arial"/>
                <w:sz w:val="17"/>
                <w:szCs w:val="17"/>
                <w:color w:val="auto"/>
              </w:rPr>
              <w:t>Total operating lease payments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117,763</w:t>
            </w:r>
          </w:p>
        </w:tc>
      </w:tr>
      <w:tr>
        <w:trPr>
          <w:trHeight w:val="222"/>
        </w:trPr>
        <w:tc>
          <w:tcPr>
            <w:tcW w:w="9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imputed interest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(12,048)</w:t>
            </w:r>
          </w:p>
        </w:tc>
      </w:tr>
      <w:tr>
        <w:trPr>
          <w:trHeight w:val="215"/>
        </w:trPr>
        <w:tc>
          <w:tcPr>
            <w:tcW w:w="9600" w:type="dxa"/>
            <w:vAlign w:val="bottom"/>
          </w:tcPr>
          <w:p>
            <w:pPr>
              <w:ind w:left="460"/>
              <w:spacing w:after="0"/>
              <w:rPr>
                <w:sz w:val="20"/>
                <w:szCs w:val="20"/>
                <w:color w:val="auto"/>
              </w:rPr>
            </w:pPr>
            <w:r>
              <w:rPr>
                <w:rFonts w:ascii="Arial" w:cs="Arial" w:eastAsia="Arial" w:hAnsi="Arial"/>
                <w:sz w:val="17"/>
                <w:szCs w:val="17"/>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105,715</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Non-cancelable Purchase Obligations</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the normal course of business, we enter into non-cancelable purchase commitments with various parties to purchase primarily software-based services. As of January 31, 2022, we had outstanding non-cancelable purchase obligations with a term of less than 12 months of $227.2 million and non-cancelable purchase obligations with a term 12 months or longer of $159.4 million.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Indemnifications and Contingency</w:t>
      </w:r>
    </w:p>
    <w:p>
      <w:pPr>
        <w:spacing w:after="0" w:line="11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4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Sales and Other Tax Liabilities</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2022 and 2021, we recorded sales and other tax liabilities of $87.2 million and $85.6 million, respectively, of which $33.3 million and $27.5 million are included in accrued expenses and other current liabilities, respectively, and $53.9 million and $58.1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Contingencies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the court granted in part, and denied in part, our motion to dismiss.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the motion to dismiss the securities class action. On October 27, 2021, a third substantially identical lawsuit was filed in the same court against the same defendants, seeking unspecified monetary damages and governance reforms. On November 17, 2021, all three derivative lawsuits were consolidated and stayed pending resolution of the motion to dismiss the securities class action.</w:t>
      </w:r>
    </w:p>
    <w:p>
      <w:pPr>
        <w:spacing w:after="0" w:line="6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7"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The Court has scheduled a final approval hearing to take place on April 7, 2022. We recorded an aggregate legal settlement charge of $66.9 million net of amounts estimated to be covered by insurance as a general and administrative expense in our consolidated statement of operations for the fiscal year ended January 31, 2022.</w:t>
      </w:r>
    </w:p>
    <w:p>
      <w:pPr>
        <w:spacing w:after="0" w:line="7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January 19, 2021, we finalized a settlement agreement with the FTC which requires us to implement certain injunctive provisions, including, among other things, refraining from making any misrepresentations regarding the privacy and security of our services or how we collect, maintain, use, delete, disclose, allow access to, and protect user information. It also requires us to implement a detailed information security program and obtain third-party security assessments periodically. We do not expect the settlement to have a material impact on our financial results. We are cooperating with the FTC’s requirements and working to ensure compliance.</w:t>
      </w:r>
    </w:p>
    <w:p>
      <w:pPr>
        <w:spacing w:after="0" w:line="7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7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Stockholders’ Equity and Equity Incentive Plans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Upon completion of the IPO in April 2019, all shares of convertible preferred stock outstanding, totaling 152,665,804 shares, were automatically converted into an equivalent number of shares of Class B common stock on a one-to-one basis and their carrying value of $159.6 million was reclassified into stockholders’ equity. As of January 31, 2022 and 2021, there were no shares of convertible preferred stock issued and outstanding.</w:t>
      </w:r>
    </w:p>
    <w:p>
      <w:pPr>
        <w:spacing w:after="0" w:line="6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connection with the IPO, our amended and restated certificate of incorporation became effective, which authorized the issuance of 200,000,000 shares of undesignated preferred stock with a par value of $0.001 with rights and preferences, including voting rights, designated from time to time by our board of directors.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Dual-Class Common Stock Structure</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6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Upon the effectiveness of the amended and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Equity Financing</w:t>
      </w:r>
    </w:p>
    <w:p>
      <w:pPr>
        <w:spacing w:after="0" w:line="11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April 23, 2019, we completed our IPO, in which we issued and sold 9,911,434 shares of our Class A common stock at $36.00 per share. On April 18, 2019, the underwriters exercised their option to purchase an additional 3,130,435 shares of our Class A common stock at $36.00 per share. We received aggregate proceeds of $447.9 million, net of underwriters’ discounts and commissions. In connection with the IPO:</w:t>
      </w:r>
    </w:p>
    <w:p>
      <w:pPr>
        <w:spacing w:after="0" w:line="67" w:lineRule="exact"/>
        <w:rPr>
          <w:sz w:val="20"/>
          <w:szCs w:val="20"/>
          <w:color w:val="auto"/>
        </w:rPr>
      </w:pPr>
    </w:p>
    <w:p>
      <w:pPr>
        <w:ind w:left="1100" w:hanging="625"/>
        <w:spacing w:after="0" w:line="288" w:lineRule="auto"/>
        <w:tabs>
          <w:tab w:leader="none" w:pos="10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of the shares of convertible preferred stock outstanding automatically converted into an aggregate of 152,665,804 shares of Class B common stock;</w:t>
      </w:r>
    </w:p>
    <w:p>
      <w:pPr>
        <w:spacing w:after="0" w:line="53" w:lineRule="exact"/>
        <w:rPr>
          <w:rFonts w:ascii="Arial" w:cs="Arial" w:eastAsia="Arial" w:hAnsi="Arial"/>
          <w:sz w:val="17"/>
          <w:szCs w:val="17"/>
          <w:color w:val="auto"/>
        </w:rPr>
      </w:pPr>
    </w:p>
    <w:p>
      <w:pPr>
        <w:ind w:left="1100" w:hanging="625"/>
        <w:spacing w:after="0" w:line="288" w:lineRule="auto"/>
        <w:tabs>
          <w:tab w:leader="none" w:pos="10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outstanding convertible promissory notes and accrued interest automatically converted into 426,223 shares of Class A common stock based on the IPO price of $36.00 per share; and</w:t>
      </w:r>
    </w:p>
    <w:p>
      <w:pPr>
        <w:spacing w:after="0" w:line="53" w:lineRule="exact"/>
        <w:rPr>
          <w:rFonts w:ascii="Arial" w:cs="Arial" w:eastAsia="Arial" w:hAnsi="Arial"/>
          <w:sz w:val="17"/>
          <w:szCs w:val="17"/>
          <w:color w:val="auto"/>
        </w:rPr>
      </w:pPr>
    </w:p>
    <w:p>
      <w:pPr>
        <w:jc w:val="both"/>
        <w:ind w:left="1100" w:hanging="625"/>
        <w:spacing w:after="0" w:line="272" w:lineRule="auto"/>
        <w:tabs>
          <w:tab w:leader="none" w:pos="10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6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Deferred offering costs consist primarily of accounting, legal, and other fees related to our IPO. Prior to the IPO, all deferred offering costs were capitalized in other assets, noncurrent in the consolidated balance sheets. After the IPO, $6.4 million of deferred offering costs were reclassified into stockholders’ equity (deficit) as a reduction of the IPO proceeds in the consolidated balance sheets. We capitalized $2.4 million of deferred offering costs within other assets, noncurrent in the consolidated balance sheet as of January 31, 2019, which were reclassified into additional paid-in capital upon the completion of the IPO.</w:t>
      </w:r>
    </w:p>
    <w:p>
      <w:pPr>
        <w:spacing w:after="0" w:line="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January 15, 2021, we completed our follow-on public offering, in which we issued and sold 5,882,353 shares of our Class A common stock, including 735,294 shares pursuant to the full exercise of the underwriter's option to purchase additional shares, at $340.00 per share. We received aggregate proceeds of $1,980.0 million, net of underwriters’ discounts and commissions. The other related offering costs were immaterial.</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Common Stock</w:t>
      </w:r>
    </w:p>
    <w:p>
      <w:pPr>
        <w:spacing w:after="0" w:line="118"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the following shares of Class A common stock reserved for future issuance: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258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As of January 31,</w:t>
            </w:r>
          </w:p>
        </w:tc>
        <w:tc>
          <w:tcPr>
            <w:tcW w:w="1220" w:type="dxa"/>
            <w:vAlign w:val="bottom"/>
            <w:tcBorders>
              <w:bottom w:val="single" w:sz="8" w:color="auto"/>
            </w:tcBorders>
          </w:tcPr>
          <w:p>
            <w:pPr>
              <w:spacing w:after="0"/>
              <w:rPr>
                <w:sz w:val="16"/>
                <w:szCs w:val="16"/>
                <w:color w:val="auto"/>
              </w:rPr>
            </w:pPr>
          </w:p>
        </w:tc>
      </w:tr>
      <w:tr>
        <w:trPr>
          <w:trHeight w:val="181"/>
        </w:trPr>
        <w:tc>
          <w:tcPr>
            <w:tcW w:w="74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outstanding</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6,195,205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9,239,504</w:t>
            </w:r>
          </w:p>
        </w:tc>
      </w:tr>
      <w:tr>
        <w:trPr>
          <w:trHeight w:val="222"/>
        </w:trPr>
        <w:tc>
          <w:tcPr>
            <w:tcW w:w="7400" w:type="dxa"/>
            <w:vAlign w:val="bottom"/>
          </w:tcPr>
          <w:p>
            <w:pPr>
              <w:ind w:left="20"/>
              <w:spacing w:after="0"/>
              <w:rPr>
                <w:sz w:val="20"/>
                <w:szCs w:val="20"/>
                <w:color w:val="auto"/>
              </w:rPr>
            </w:pPr>
            <w:r>
              <w:rPr>
                <w:rFonts w:ascii="Arial" w:cs="Arial" w:eastAsia="Arial" w:hAnsi="Arial"/>
                <w:sz w:val="17"/>
                <w:szCs w:val="17"/>
                <w:color w:val="auto"/>
              </w:rPr>
              <w:t>RSUs outstanding</w:t>
            </w:r>
          </w:p>
        </w:tc>
        <w:tc>
          <w:tcPr>
            <w:tcW w:w="1840" w:type="dxa"/>
            <w:vAlign w:val="bottom"/>
          </w:tcPr>
          <w:p>
            <w:pPr>
              <w:jc w:val="right"/>
              <w:spacing w:after="0"/>
              <w:rPr>
                <w:sz w:val="20"/>
                <w:szCs w:val="20"/>
                <w:color w:val="auto"/>
              </w:rPr>
            </w:pPr>
            <w:r>
              <w:rPr>
                <w:rFonts w:ascii="Arial" w:cs="Arial" w:eastAsia="Arial" w:hAnsi="Arial"/>
                <w:sz w:val="17"/>
                <w:szCs w:val="17"/>
                <w:color w:val="auto"/>
              </w:rPr>
              <w:t>5,546,366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4,510,730</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 purchase rights outstanding</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1,784,687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724,883</w:t>
            </w:r>
          </w:p>
        </w:tc>
      </w:tr>
      <w:tr>
        <w:trPr>
          <w:trHeight w:val="222"/>
        </w:trPr>
        <w:tc>
          <w:tcPr>
            <w:tcW w:w="7400" w:type="dxa"/>
            <w:vAlign w:val="bottom"/>
          </w:tcPr>
          <w:p>
            <w:pPr>
              <w:ind w:left="20"/>
              <w:spacing w:after="0"/>
              <w:rPr>
                <w:sz w:val="20"/>
                <w:szCs w:val="20"/>
                <w:color w:val="auto"/>
              </w:rPr>
            </w:pPr>
            <w:r>
              <w:rPr>
                <w:rFonts w:ascii="Arial" w:cs="Arial" w:eastAsia="Arial" w:hAnsi="Arial"/>
                <w:sz w:val="17"/>
                <w:szCs w:val="17"/>
                <w:color w:val="auto"/>
              </w:rPr>
              <w:t>Remaining shares available for future issuance under the 2011 and 2019 plan</w:t>
            </w:r>
          </w:p>
        </w:tc>
        <w:tc>
          <w:tcPr>
            <w:tcW w:w="1840" w:type="dxa"/>
            <w:vAlign w:val="bottom"/>
          </w:tcPr>
          <w:p>
            <w:pPr>
              <w:jc w:val="right"/>
              <w:spacing w:after="0"/>
              <w:rPr>
                <w:sz w:val="20"/>
                <w:szCs w:val="20"/>
                <w:color w:val="auto"/>
              </w:rPr>
            </w:pPr>
            <w:r>
              <w:rPr>
                <w:rFonts w:ascii="Arial" w:cs="Arial" w:eastAsia="Arial" w:hAnsi="Arial"/>
                <w:sz w:val="17"/>
                <w:szCs w:val="17"/>
                <w:color w:val="auto"/>
              </w:rPr>
              <w:t>56,620,720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44,584,783</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shares available for future issuance under the ESPP</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10,685,867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9,648,574</w:t>
            </w:r>
          </w:p>
        </w:tc>
      </w:tr>
      <w:tr>
        <w:trPr>
          <w:trHeight w:val="215"/>
        </w:trPr>
        <w:tc>
          <w:tcPr>
            <w:tcW w:w="7400" w:type="dxa"/>
            <w:vAlign w:val="bottom"/>
          </w:tcPr>
          <w:p>
            <w:pPr>
              <w:ind w:left="340"/>
              <w:spacing w:after="0"/>
              <w:rPr>
                <w:sz w:val="20"/>
                <w:szCs w:val="20"/>
                <w:color w:val="auto"/>
              </w:rPr>
            </w:pPr>
            <w:r>
              <w:rPr>
                <w:rFonts w:ascii="Arial" w:cs="Arial" w:eastAsia="Arial" w:hAnsi="Arial"/>
                <w:sz w:val="17"/>
                <w:szCs w:val="17"/>
                <w:color w:val="auto"/>
              </w:rPr>
              <w:t>Total shares of Class A common stock reserved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80,832,845</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68,708,474</w:t>
            </w:r>
          </w:p>
        </w:tc>
      </w:tr>
      <w:tr>
        <w:trPr>
          <w:trHeight w:val="20"/>
        </w:trPr>
        <w:tc>
          <w:tcPr>
            <w:tcW w:w="7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58"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In April 2019, we adopted the 2019 Plan, which became effective in connection with our IPO. Our 2019 Plan provides for the grant of stock options, stock appreciation rights, RSAs,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5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Options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stock option activity under our equity incentive plan and related information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8"/>
              </w:rPr>
              <w:t>Stock Options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1"/>
                <w:szCs w:val="11"/>
                <w:color w:val="auto"/>
              </w:rPr>
            </w:pPr>
          </w:p>
        </w:tc>
        <w:tc>
          <w:tcPr>
            <w:tcW w:w="11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6"/>
              </w:rPr>
              <w:t>Exercise</w:t>
            </w: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1"/>
                <w:szCs w:val="11"/>
                <w:color w:val="auto"/>
              </w:rPr>
            </w:pPr>
          </w:p>
        </w:tc>
        <w:tc>
          <w:tcPr>
            <w:tcW w:w="1160" w:type="dxa"/>
            <w:vAlign w:val="bottom"/>
          </w:tcPr>
          <w:p>
            <w:pPr>
              <w:jc w:val="center"/>
              <w:ind w:right="159"/>
              <w:spacing w:after="0" w:line="13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(in thousands, except share, life and per share data)</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January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3,371,457</w:t>
            </w:r>
          </w:p>
        </w:tc>
        <w:tc>
          <w:tcPr>
            <w:tcW w:w="0" w:type="dxa"/>
            <w:vAlign w:val="bottom"/>
          </w:tcPr>
          <w:p>
            <w:pPr>
              <w:spacing w:after="0"/>
              <w:rPr>
                <w:sz w:val="1"/>
                <w:szCs w:val="1"/>
                <w:color w:val="auto"/>
              </w:rPr>
            </w:pPr>
          </w:p>
        </w:tc>
      </w:tr>
      <w:tr>
        <w:trPr>
          <w:trHeight w:val="222"/>
        </w:trPr>
        <w:tc>
          <w:tcPr>
            <w:tcW w:w="5340" w:type="dxa"/>
            <w:vAlign w:val="bottom"/>
            <w:gridSpan w:val="2"/>
          </w:tcPr>
          <w:p>
            <w:pPr>
              <w:ind w:left="240"/>
              <w:spacing w:after="0"/>
              <w:rPr>
                <w:sz w:val="20"/>
                <w:szCs w:val="20"/>
                <w:color w:val="auto"/>
              </w:rPr>
            </w:pPr>
            <w:r>
              <w:rPr>
                <w:rFonts w:ascii="Arial" w:cs="Arial" w:eastAsia="Arial" w:hAnsi="Arial"/>
                <w:sz w:val="17"/>
                <w:szCs w:val="17"/>
                <w:color w:val="auto"/>
              </w:rPr>
              <w:t>Exercised</w:t>
            </w:r>
          </w:p>
        </w:tc>
        <w:tc>
          <w:tcPr>
            <w:tcW w:w="1400" w:type="dxa"/>
            <w:vAlign w:val="bottom"/>
          </w:tcPr>
          <w:p>
            <w:pPr>
              <w:jc w:val="right"/>
              <w:spacing w:after="0"/>
              <w:rPr>
                <w:sz w:val="20"/>
                <w:szCs w:val="20"/>
                <w:color w:val="auto"/>
              </w:rPr>
            </w:pPr>
            <w:r>
              <w:rPr>
                <w:rFonts w:ascii="Arial" w:cs="Arial" w:eastAsia="Arial" w:hAnsi="Arial"/>
                <w:sz w:val="17"/>
                <w:szCs w:val="17"/>
                <w:color w:val="auto"/>
              </w:rPr>
              <w:t>(2,881,485)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842,989</w:t>
            </w:r>
          </w:p>
        </w:tc>
        <w:tc>
          <w:tcPr>
            <w:tcW w:w="0" w:type="dxa"/>
            <w:vAlign w:val="bottom"/>
          </w:tcPr>
          <w:p>
            <w:pPr>
              <w:spacing w:after="0"/>
              <w:rPr>
                <w:sz w:val="1"/>
                <w:szCs w:val="1"/>
                <w:color w:val="auto"/>
              </w:rPr>
            </w:pPr>
          </w:p>
        </w:tc>
      </w:tr>
      <w:tr>
        <w:trPr>
          <w:trHeight w:val="222"/>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Canceled/forfeited/expired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(162,814)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Outstanding as of January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6,195,205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905,744</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 and expected to vest as of January 31, 2022</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6,195,205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905,744</w:t>
            </w:r>
          </w:p>
        </w:tc>
        <w:tc>
          <w:tcPr>
            <w:tcW w:w="0" w:type="dxa"/>
            <w:vAlign w:val="bottom"/>
          </w:tcPr>
          <w:p>
            <w:pPr>
              <w:spacing w:after="0"/>
              <w:rPr>
                <w:sz w:val="1"/>
                <w:szCs w:val="1"/>
                <w:color w:val="auto"/>
              </w:rPr>
            </w:pPr>
          </w:p>
        </w:tc>
      </w:tr>
      <w:tr>
        <w:trPr>
          <w:trHeight w:val="222"/>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Exercisable as of January 31, 2022</w:t>
            </w:r>
          </w:p>
        </w:tc>
        <w:tc>
          <w:tcPr>
            <w:tcW w:w="1400" w:type="dxa"/>
            <w:vAlign w:val="bottom"/>
          </w:tcPr>
          <w:p>
            <w:pPr>
              <w:jc w:val="right"/>
              <w:spacing w:after="0"/>
              <w:rPr>
                <w:sz w:val="20"/>
                <w:szCs w:val="20"/>
                <w:color w:val="auto"/>
              </w:rPr>
            </w:pPr>
            <w:r>
              <w:rPr>
                <w:rFonts w:ascii="Arial" w:cs="Arial" w:eastAsia="Arial" w:hAnsi="Arial"/>
                <w:sz w:val="17"/>
                <w:szCs w:val="17"/>
                <w:color w:val="auto"/>
              </w:rPr>
              <w:t>4,898,249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727,701</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There were no options granted for the fiscal years ended January 31, 2022 and 2021. The weighted-average grant date fair value of options granted to employees during the fiscal year ended January 31, 2020 was $25.17. The intrinsic value of the options exercised, which represents the difference between the fair market value of our common stock on the date of exercise and the exercise price of each option, was $843.0 million, $1,786.7 million, and $767.3 million during the fiscal years ended January 31, 2022, 2021, and 2020, respectively. As of January 31, 2022, unrecognized stock-based compensation expense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related to outstanding unvested stock options was $19.7 million, which is expected to be recognized over a weighted-average period of 0.8 years.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Black-Scholes assumptions used to value the employee options at the grant dates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January 31, 2020</w:t>
            </w:r>
          </w:p>
        </w:tc>
      </w:tr>
      <w:tr>
        <w:trPr>
          <w:trHeight w:val="220"/>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- 6.1</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360" w:type="dxa"/>
            <w:vAlign w:val="bottom"/>
          </w:tcPr>
          <w:p>
            <w:pPr>
              <w:jc w:val="right"/>
              <w:spacing w:after="0"/>
              <w:rPr>
                <w:sz w:val="20"/>
                <w:szCs w:val="20"/>
                <w:color w:val="auto"/>
              </w:rPr>
            </w:pPr>
            <w:r>
              <w:rPr>
                <w:rFonts w:ascii="Arial" w:cs="Arial" w:eastAsia="Arial" w:hAnsi="Arial"/>
                <w:sz w:val="17"/>
                <w:szCs w:val="17"/>
                <w:color w:val="auto"/>
              </w:rPr>
              <w:t>49.9%</w:t>
            </w:r>
          </w:p>
        </w:tc>
        <w:tc>
          <w:tcPr>
            <w:tcW w:w="1460" w:type="dxa"/>
            <w:vAlign w:val="bottom"/>
          </w:tcPr>
          <w:p>
            <w:pPr>
              <w:ind w:left="20"/>
              <w:spacing w:after="0"/>
              <w:rPr>
                <w:sz w:val="20"/>
                <w:szCs w:val="20"/>
                <w:color w:val="auto"/>
              </w:rPr>
            </w:pPr>
            <w:r>
              <w:rPr>
                <w:rFonts w:ascii="Arial" w:cs="Arial" w:eastAsia="Arial" w:hAnsi="Arial"/>
                <w:sz w:val="17"/>
                <w:szCs w:val="17"/>
                <w:color w:val="auto"/>
              </w:rPr>
              <w:t>- 53.2%</w:t>
            </w: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820" w:type="dxa"/>
            <w:vAlign w:val="bottom"/>
            <w:gridSpan w:val="2"/>
          </w:tcPr>
          <w:p>
            <w:pPr>
              <w:jc w:val="center"/>
              <w:spacing w:after="0"/>
              <w:rPr>
                <w:sz w:val="20"/>
                <w:szCs w:val="20"/>
                <w:color w:val="auto"/>
              </w:rPr>
            </w:pPr>
            <w:r>
              <w:rPr>
                <w:rFonts w:ascii="Arial" w:cs="Arial" w:eastAsia="Arial" w:hAnsi="Arial"/>
                <w:sz w:val="17"/>
                <w:szCs w:val="17"/>
                <w:color w:val="auto"/>
              </w:rPr>
              <w:t>—</w:t>
            </w: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assumptions and estimates were determined as follows:</w:t>
      </w:r>
    </w:p>
    <w:p>
      <w:pPr>
        <w:spacing w:after="0" w:line="118" w:lineRule="exact"/>
        <w:rPr>
          <w:sz w:val="20"/>
          <w:szCs w:val="20"/>
          <w:color w:val="auto"/>
        </w:rPr>
      </w:pPr>
    </w:p>
    <w:p>
      <w:pPr>
        <w:jc w:val="both"/>
        <w:ind w:left="940" w:hanging="30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Prior to our IPO, the fair value was determined by our board of directors, with input from management and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 After our initial public offering, the fair value of each share of underlying common stock was based on the closing price of our Class A common stock as reported on the date of the grant.</w:t>
      </w:r>
    </w:p>
    <w:p>
      <w:pPr>
        <w:spacing w:after="0" w:line="74" w:lineRule="exact"/>
        <w:rPr>
          <w:rFonts w:ascii="Arial" w:cs="Arial" w:eastAsia="Arial" w:hAnsi="Arial"/>
          <w:sz w:val="17"/>
          <w:szCs w:val="17"/>
          <w:color w:val="auto"/>
        </w:rPr>
      </w:pPr>
    </w:p>
    <w:p>
      <w:pPr>
        <w:ind w:left="940" w:hanging="308"/>
        <w:spacing w:after="0" w:line="288"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for the expected term of the options was based on the U.S. Treasury yield curve in effect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the grant.</w:t>
      </w:r>
    </w:p>
    <w:p>
      <w:pPr>
        <w:spacing w:after="0" w:line="53" w:lineRule="exact"/>
        <w:rPr>
          <w:rFonts w:ascii="Arial" w:cs="Arial" w:eastAsia="Arial" w:hAnsi="Arial"/>
          <w:sz w:val="17"/>
          <w:szCs w:val="17"/>
          <w:color w:val="auto"/>
        </w:rPr>
      </w:pPr>
    </w:p>
    <w:p>
      <w:pPr>
        <w:jc w:val="both"/>
        <w:ind w:left="940" w:hanging="30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options represents the period of time that options are expected to be outstanding. Our historical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stock options. For stock options granted to nonemployees, the expected term equals the contractual term of the stock option.</w:t>
      </w:r>
    </w:p>
    <w:p>
      <w:pPr>
        <w:spacing w:after="0" w:line="74" w:lineRule="exact"/>
        <w:rPr>
          <w:rFonts w:ascii="Arial" w:cs="Arial" w:eastAsia="Arial" w:hAnsi="Arial"/>
          <w:sz w:val="17"/>
          <w:szCs w:val="17"/>
          <w:color w:val="auto"/>
        </w:rPr>
      </w:pPr>
    </w:p>
    <w:p>
      <w:pPr>
        <w:jc w:val="both"/>
        <w:ind w:left="940" w:hanging="308"/>
        <w:spacing w:after="0" w:line="272"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we have a short trading history for our common stock, the expected volatility was estimated by taking the average historic</w:t>
      </w:r>
      <w:r>
        <w:rPr>
          <w:rFonts w:ascii="Arial" w:cs="Arial" w:eastAsia="Arial" w:hAnsi="Arial"/>
          <w:sz w:val="17"/>
          <w:szCs w:val="17"/>
          <w:i w:val="1"/>
          <w:iCs w:val="1"/>
          <w:color w:val="auto"/>
        </w:rPr>
        <w:t xml:space="preserve"> </w:t>
      </w:r>
      <w:r>
        <w:rPr>
          <w:rFonts w:ascii="Arial" w:cs="Arial" w:eastAsia="Arial" w:hAnsi="Arial"/>
          <w:sz w:val="17"/>
          <w:szCs w:val="17"/>
          <w:color w:val="auto"/>
        </w:rPr>
        <w:t>price volatility for industry peers, consisting of several public companies in our industry that are similar in size, stage of life cycle, or financial leverage, over a period equivalent to the expected term of the awards.</w:t>
      </w:r>
    </w:p>
    <w:p>
      <w:pPr>
        <w:spacing w:after="0" w:line="67" w:lineRule="exact"/>
        <w:rPr>
          <w:rFonts w:ascii="Arial" w:cs="Arial" w:eastAsia="Arial" w:hAnsi="Arial"/>
          <w:sz w:val="17"/>
          <w:szCs w:val="17"/>
          <w:color w:val="auto"/>
        </w:rPr>
      </w:pPr>
    </w:p>
    <w:p>
      <w:pPr>
        <w:ind w:left="940" w:hanging="308"/>
        <w:spacing w:after="0" w:line="288"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do not presently plan to pay cash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As a result, an expected dividend yield of zero percent was used.</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RSU activity under our equity incentive plan and related information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194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RSUs</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860" w:type="dxa"/>
            <w:vAlign w:val="bottom"/>
          </w:tcPr>
          <w:p>
            <w:pPr>
              <w:spacing w:after="0"/>
              <w:rPr>
                <w:sz w:val="11"/>
                <w:szCs w:val="11"/>
                <w:color w:val="auto"/>
              </w:rPr>
            </w:pPr>
          </w:p>
        </w:tc>
        <w:tc>
          <w:tcPr>
            <w:tcW w:w="16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jc w:val="right"/>
              <w:ind w:right="198"/>
              <w:spacing w:after="0" w:line="129"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w w:val="93"/>
              </w:rPr>
              <w:t>Grant Date Fair Value Per</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as of January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4,510,730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194.57</w:t>
            </w:r>
          </w:p>
        </w:tc>
        <w:tc>
          <w:tcPr>
            <w:tcW w:w="0" w:type="dxa"/>
            <w:vAlign w:val="bottom"/>
          </w:tcPr>
          <w:p>
            <w:pPr>
              <w:spacing w:after="0"/>
              <w:rPr>
                <w:sz w:val="1"/>
                <w:szCs w:val="1"/>
                <w:color w:val="auto"/>
              </w:rPr>
            </w:pPr>
          </w:p>
        </w:tc>
      </w:tr>
      <w:tr>
        <w:trPr>
          <w:trHeight w:val="222"/>
        </w:trPr>
        <w:tc>
          <w:tcPr>
            <w:tcW w:w="7860" w:type="dxa"/>
            <w:vAlign w:val="bottom"/>
          </w:tcPr>
          <w:p>
            <w:pPr>
              <w:ind w:left="2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3,195,949</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265.12</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(1,768,702)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190.36</w:t>
            </w:r>
          </w:p>
        </w:tc>
        <w:tc>
          <w:tcPr>
            <w:tcW w:w="0" w:type="dxa"/>
            <w:vAlign w:val="bottom"/>
          </w:tcPr>
          <w:p>
            <w:pPr>
              <w:spacing w:after="0"/>
              <w:rPr>
                <w:sz w:val="1"/>
                <w:szCs w:val="1"/>
                <w:color w:val="auto"/>
              </w:rPr>
            </w:pPr>
          </w:p>
        </w:tc>
      </w:tr>
      <w:tr>
        <w:trPr>
          <w:trHeight w:val="222"/>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(391,611)</w:t>
            </w:r>
          </w:p>
        </w:tc>
        <w:tc>
          <w:tcPr>
            <w:tcW w:w="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250.92</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as of January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5,546,366</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October 2021, we added a feature to new and existing stock awards that provides employees with additional awards based on certain stock price criteria. The value of the modified RSUs began to be recognized as compensation expense in the fiscal year ended January 31, 2022 and will continue to be recognized through the remaining requisite service period for the RSUs. This had an immaterial impact on our consolidated statement of operations for the fiscal year ended January 31, 2022.</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January 31, 2022, unrecognized stock-based compensation expense related to outstanding unvested RSUs was $1,437.2 million, including the impact of the modification, which is expected to be recognized over a weighted-average period of 2.8 years.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118"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4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6"/>
          <w:szCs w:val="16"/>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2022, 2021, and 2020, 838,395, 923,553, and 490,268 shares, respectively, of our Class A common stock were purchased under the ESPP.</w:t>
      </w:r>
    </w:p>
    <w:p>
      <w:pPr>
        <w:spacing w:after="0" w:line="6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January 31, 2022, unrecognized stock-based compensation expense related to the ESPP was $65.3 million, which is expected to be recognized over a weighted-average period of 1.6 years.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40" w:type="dxa"/>
            <w:vAlign w:val="bottom"/>
          </w:tcPr>
          <w:p>
            <w:pPr>
              <w:ind w:left="480"/>
              <w:spacing w:after="0"/>
              <w:rPr>
                <w:sz w:val="20"/>
                <w:szCs w:val="20"/>
                <w:color w:val="auto"/>
              </w:rPr>
            </w:pPr>
            <w:r>
              <w:rPr>
                <w:rFonts w:ascii="Arial" w:cs="Arial" w:eastAsia="Arial" w:hAnsi="Arial"/>
                <w:sz w:val="17"/>
                <w:szCs w:val="17"/>
                <w:color w:val="auto"/>
              </w:rPr>
              <w:t>We  estimated  the  fair</w:t>
            </w:r>
          </w:p>
        </w:tc>
        <w:tc>
          <w:tcPr>
            <w:tcW w:w="7060" w:type="dxa"/>
            <w:vAlign w:val="bottom"/>
            <w:gridSpan w:val="5"/>
          </w:tcPr>
          <w:p>
            <w:pPr>
              <w:ind w:left="60"/>
              <w:spacing w:after="0"/>
              <w:rPr>
                <w:sz w:val="20"/>
                <w:szCs w:val="20"/>
                <w:color w:val="auto"/>
              </w:rPr>
            </w:pPr>
            <w:r>
              <w:rPr>
                <w:rFonts w:ascii="Arial" w:cs="Arial" w:eastAsia="Arial" w:hAnsi="Arial"/>
                <w:sz w:val="17"/>
                <w:szCs w:val="17"/>
                <w:color w:val="auto"/>
              </w:rPr>
              <w:t>value  of  ESPP  purchase  rights  using  a  Black-Scholes  option-pricing  model  with  the</w:t>
            </w:r>
          </w:p>
        </w:tc>
        <w:tc>
          <w:tcPr>
            <w:tcW w:w="1840" w:type="dxa"/>
            <w:vAlign w:val="bottom"/>
            <w:gridSpan w:val="3"/>
          </w:tcPr>
          <w:p>
            <w:pPr>
              <w:ind w:left="100"/>
              <w:spacing w:after="0"/>
              <w:rPr>
                <w:sz w:val="20"/>
                <w:szCs w:val="20"/>
                <w:color w:val="auto"/>
              </w:rPr>
            </w:pPr>
            <w:r>
              <w:rPr>
                <w:rFonts w:ascii="Arial" w:cs="Arial" w:eastAsia="Arial" w:hAnsi="Arial"/>
                <w:sz w:val="17"/>
                <w:szCs w:val="17"/>
                <w:color w:val="auto"/>
                <w:w w:val="97"/>
              </w:rPr>
              <w:t>following  assumptions:</w:t>
            </w:r>
          </w:p>
        </w:tc>
      </w:tr>
      <w:tr>
        <w:trPr>
          <w:trHeight w:val="191"/>
        </w:trPr>
        <w:tc>
          <w:tcPr>
            <w:tcW w:w="23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9"/>
              </w:rPr>
              <w:t>Year Ended January 31,</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234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2820" w:type="dxa"/>
            <w:vAlign w:val="bottom"/>
            <w:tcBorders>
              <w:bottom w:val="single" w:sz="8" w:color="auto"/>
            </w:tcBorders>
            <w:gridSpan w:val="2"/>
          </w:tcPr>
          <w:p>
            <w:pPr>
              <w:jc w:val="right"/>
              <w:ind w:right="9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51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Expected term (years)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- 2.1</w:t>
            </w:r>
          </w:p>
        </w:tc>
        <w:tc>
          <w:tcPr>
            <w:tcW w:w="80" w:type="dxa"/>
            <w:vAlign w:val="bottom"/>
          </w:tcPr>
          <w:p>
            <w:pPr>
              <w:spacing w:after="0"/>
              <w:rPr>
                <w:sz w:val="18"/>
                <w:szCs w:val="18"/>
                <w:color w:val="auto"/>
              </w:rPr>
            </w:pPr>
          </w:p>
        </w:tc>
      </w:tr>
      <w:tr>
        <w:trPr>
          <w:trHeight w:val="222"/>
        </w:trPr>
        <w:tc>
          <w:tcPr>
            <w:tcW w:w="2340" w:type="dxa"/>
            <w:vAlign w:val="bottom"/>
          </w:tcPr>
          <w:p>
            <w:pPr>
              <w:ind w:left="500"/>
              <w:spacing w:after="0"/>
              <w:rPr>
                <w:sz w:val="20"/>
                <w:szCs w:val="20"/>
                <w:color w:val="auto"/>
              </w:rPr>
            </w:pPr>
            <w:r>
              <w:rPr>
                <w:rFonts w:ascii="Arial" w:cs="Arial" w:eastAsia="Arial" w:hAnsi="Arial"/>
                <w:sz w:val="17"/>
                <w:szCs w:val="17"/>
                <w:color w:val="auto"/>
              </w:rPr>
              <w:t>Expected volatility</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40.3%</w:t>
            </w:r>
          </w:p>
        </w:tc>
        <w:tc>
          <w:tcPr>
            <w:tcW w:w="1220" w:type="dxa"/>
            <w:vAlign w:val="bottom"/>
          </w:tcPr>
          <w:p>
            <w:pPr>
              <w:ind w:left="20"/>
              <w:spacing w:after="0"/>
              <w:rPr>
                <w:sz w:val="20"/>
                <w:szCs w:val="20"/>
                <w:color w:val="auto"/>
              </w:rPr>
            </w:pPr>
            <w:r>
              <w:rPr>
                <w:rFonts w:ascii="Arial" w:cs="Arial" w:eastAsia="Arial" w:hAnsi="Arial"/>
                <w:sz w:val="17"/>
                <w:szCs w:val="17"/>
                <w:color w:val="auto"/>
              </w:rPr>
              <w:t>- 75.0%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9"/>
              </w:rPr>
              <w:t>40.3%</w:t>
            </w:r>
          </w:p>
        </w:tc>
        <w:tc>
          <w:tcPr>
            <w:tcW w:w="1240" w:type="dxa"/>
            <w:vAlign w:val="bottom"/>
          </w:tcPr>
          <w:p>
            <w:pPr>
              <w:ind w:left="20"/>
              <w:spacing w:after="0"/>
              <w:rPr>
                <w:sz w:val="20"/>
                <w:szCs w:val="20"/>
                <w:color w:val="auto"/>
              </w:rPr>
            </w:pPr>
            <w:r>
              <w:rPr>
                <w:rFonts w:ascii="Arial" w:cs="Arial" w:eastAsia="Arial" w:hAnsi="Arial"/>
                <w:sz w:val="17"/>
                <w:szCs w:val="17"/>
                <w:color w:val="auto"/>
              </w:rPr>
              <w:t>- 75.0%</w:t>
            </w:r>
          </w:p>
        </w:tc>
        <w:tc>
          <w:tcPr>
            <w:tcW w:w="80" w:type="dxa"/>
            <w:vAlign w:val="bottom"/>
          </w:tcPr>
          <w:p>
            <w:pPr>
              <w:spacing w:after="0"/>
              <w:rPr>
                <w:sz w:val="19"/>
                <w:szCs w:val="19"/>
                <w:color w:val="auto"/>
              </w:rPr>
            </w:pPr>
          </w:p>
        </w:tc>
      </w:tr>
      <w:tr>
        <w:trPr>
          <w:trHeight w:val="222"/>
        </w:trPr>
        <w:tc>
          <w:tcPr>
            <w:tcW w:w="23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Risk-free interest rate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533"/>
              <w:spacing w:after="0"/>
              <w:rPr>
                <w:sz w:val="20"/>
                <w:szCs w:val="20"/>
                <w:color w:val="auto"/>
              </w:rPr>
            </w:pPr>
            <w:r>
              <w:rPr>
                <w:rFonts w:ascii="Arial" w:cs="Arial" w:eastAsia="Arial" w:hAnsi="Arial"/>
                <w:sz w:val="16"/>
                <w:szCs w:val="16"/>
                <w:color w:val="auto"/>
                <w:w w:val="89"/>
              </w:rPr>
              <w:t>0.1% - 2.5%</w:t>
            </w:r>
          </w:p>
        </w:tc>
        <w:tc>
          <w:tcPr>
            <w:tcW w:w="80" w:type="dxa"/>
            <w:vAlign w:val="bottom"/>
          </w:tcPr>
          <w:p>
            <w:pPr>
              <w:spacing w:after="0"/>
              <w:rPr>
                <w:sz w:val="19"/>
                <w:szCs w:val="19"/>
                <w:color w:val="auto"/>
              </w:rPr>
            </w:pPr>
          </w:p>
        </w:tc>
      </w:tr>
      <w:tr>
        <w:trPr>
          <w:trHeight w:val="222"/>
        </w:trPr>
        <w:tc>
          <w:tcPr>
            <w:tcW w:w="2340" w:type="dxa"/>
            <w:vAlign w:val="bottom"/>
          </w:tcPr>
          <w:p>
            <w:pPr>
              <w:ind w:left="500"/>
              <w:spacing w:after="0"/>
              <w:rPr>
                <w:sz w:val="20"/>
                <w:szCs w:val="20"/>
                <w:color w:val="auto"/>
              </w:rPr>
            </w:pPr>
            <w:r>
              <w:rPr>
                <w:rFonts w:ascii="Arial" w:cs="Arial" w:eastAsia="Arial" w:hAnsi="Arial"/>
                <w:sz w:val="17"/>
                <w:szCs w:val="17"/>
                <w:color w:val="auto"/>
              </w:rPr>
              <w:t>Expected dividend yield</w:t>
            </w:r>
          </w:p>
        </w:tc>
        <w:tc>
          <w:tcPr>
            <w:tcW w:w="3080" w:type="dxa"/>
            <w:vAlign w:val="bottom"/>
          </w:tcPr>
          <w:p>
            <w:pPr>
              <w:spacing w:after="0"/>
              <w:rPr>
                <w:sz w:val="19"/>
                <w:szCs w:val="19"/>
                <w:color w:val="auto"/>
              </w:rPr>
            </w:pPr>
          </w:p>
        </w:tc>
        <w:tc>
          <w:tcPr>
            <w:tcW w:w="3980" w:type="dxa"/>
            <w:vAlign w:val="bottom"/>
            <w:gridSpan w:val="4"/>
          </w:tcPr>
          <w:p>
            <w:pPr>
              <w:jc w:val="center"/>
              <w:ind w:right="700"/>
              <w:spacing w:after="0"/>
              <w:rPr>
                <w:sz w:val="20"/>
                <w:szCs w:val="20"/>
                <w:color w:val="auto"/>
              </w:rPr>
            </w:pPr>
            <w:r>
              <w:rPr>
                <w:rFonts w:ascii="Arial" w:cs="Arial" w:eastAsia="Arial" w:hAnsi="Arial"/>
                <w:sz w:val="17"/>
                <w:szCs w:val="17"/>
                <w:color w:val="auto"/>
                <w:w w:val="93"/>
              </w:rPr>
              <w:t>—</w:t>
            </w:r>
          </w:p>
        </w:tc>
        <w:tc>
          <w:tcPr>
            <w:tcW w:w="1840" w:type="dxa"/>
            <w:vAlign w:val="bottom"/>
            <w:gridSpan w:val="3"/>
          </w:tcPr>
          <w:p>
            <w:pPr>
              <w:jc w:val="center"/>
              <w:ind w:right="700"/>
              <w:spacing w:after="0"/>
              <w:rPr>
                <w:sz w:val="20"/>
                <w:szCs w:val="20"/>
                <w:color w:val="auto"/>
              </w:rPr>
            </w:pPr>
            <w:r>
              <w:rPr>
                <w:rFonts w:ascii="Arial" w:cs="Arial" w:eastAsia="Arial" w:hAnsi="Arial"/>
                <w:sz w:val="17"/>
                <w:szCs w:val="17"/>
                <w:color w:val="auto"/>
              </w:rPr>
              <w:t>—</w:t>
            </w:r>
          </w:p>
        </w:tc>
      </w:tr>
    </w:tbl>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Year Ended January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1"/>
        </w:trPr>
        <w:tc>
          <w:tcPr>
            <w:tcW w:w="6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11"/>
        </w:trPr>
        <w:tc>
          <w:tcPr>
            <w:tcW w:w="6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7,860</w:t>
            </w:r>
          </w:p>
        </w:tc>
      </w:tr>
      <w:tr>
        <w:trPr>
          <w:trHeight w:val="222"/>
        </w:trPr>
        <w:tc>
          <w:tcPr>
            <w:tcW w:w="61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113,000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11,645</w:t>
            </w:r>
          </w:p>
        </w:tc>
      </w:tr>
      <w:tr>
        <w:trPr>
          <w:trHeight w:val="222"/>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229,297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41,465</w:t>
            </w:r>
          </w:p>
        </w:tc>
      </w:tr>
      <w:tr>
        <w:trPr>
          <w:trHeight w:val="222"/>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12,139</w:t>
            </w:r>
          </w:p>
        </w:tc>
      </w:tr>
      <w:tr>
        <w:trPr>
          <w:trHeight w:val="215"/>
        </w:trPr>
        <w:tc>
          <w:tcPr>
            <w:tcW w:w="6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stock-based compensation expense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477,287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73,109</w:t>
            </w:r>
          </w:p>
        </w:tc>
      </w:tr>
      <w:tr>
        <w:trPr>
          <w:trHeight w:val="222"/>
        </w:trPr>
        <w:tc>
          <w:tcPr>
            <w:tcW w:w="6120" w:type="dxa"/>
            <w:vAlign w:val="bottom"/>
          </w:tcPr>
          <w:p>
            <w:pPr>
              <w:ind w:left="20"/>
              <w:spacing w:after="0"/>
              <w:rPr>
                <w:sz w:val="20"/>
                <w:szCs w:val="20"/>
                <w:color w:val="auto"/>
              </w:rPr>
            </w:pPr>
            <w:r>
              <w:rPr>
                <w:rFonts w:ascii="Arial" w:cs="Arial" w:eastAsia="Arial" w:hAnsi="Arial"/>
                <w:sz w:val="17"/>
                <w:szCs w:val="17"/>
                <w:color w:val="auto"/>
              </w:rPr>
              <w:t>Benefit from income taxes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(84,245)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6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stock-based compensation expense recorded to net income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393,042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73,109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net income before the (benefit from) provision for income taxes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Year Ended January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1,101,632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678,034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553"/>
              <w:spacing w:after="0"/>
              <w:rPr>
                <w:sz w:val="20"/>
                <w:szCs w:val="20"/>
                <w:color w:val="auto"/>
              </w:rPr>
            </w:pPr>
            <w:r>
              <w:rPr>
                <w:rFonts w:ascii="Arial" w:cs="Arial" w:eastAsia="Arial" w:hAnsi="Arial"/>
                <w:sz w:val="17"/>
                <w:szCs w:val="17"/>
                <w:color w:val="auto"/>
              </w:rPr>
              <w:t>88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31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1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(benefit from) provision for income taxes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January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1"/>
        </w:trPr>
        <w:tc>
          <w:tcPr>
            <w:tcW w:w="6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1"/>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2"/>
        </w:trPr>
        <w:tc>
          <w:tcPr>
            <w:tcW w:w="6480" w:type="dxa"/>
            <w:vAlign w:val="bottom"/>
          </w:tcPr>
          <w:p>
            <w:pPr>
              <w:ind w:left="34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69,853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2,226</w:t>
            </w:r>
          </w:p>
        </w:tc>
      </w:tr>
      <w:tr>
        <w:trPr>
          <w:trHeight w:val="215"/>
        </w:trPr>
        <w:tc>
          <w:tcPr>
            <w:tcW w:w="6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r>
      <w:tr>
        <w:trPr>
          <w:trHeight w:val="202"/>
        </w:trPr>
        <w:tc>
          <w:tcPr>
            <w:tcW w:w="6480" w:type="dxa"/>
            <w:vAlign w:val="bottom"/>
          </w:tcPr>
          <w:p>
            <w:pPr>
              <w:ind w:left="20"/>
              <w:spacing w:after="0"/>
              <w:rPr>
                <w:sz w:val="20"/>
                <w:szCs w:val="20"/>
                <w:color w:val="auto"/>
              </w:rPr>
            </w:pPr>
            <w:r>
              <w:rPr>
                <w:rFonts w:ascii="Arial" w:cs="Arial" w:eastAsia="Arial" w:hAnsi="Arial"/>
                <w:sz w:val="17"/>
                <w:szCs w:val="17"/>
                <w:color w:val="auto"/>
              </w:rPr>
              <w:t>Deferred: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80" w:type="dxa"/>
            <w:vAlign w:val="bottom"/>
          </w:tcPr>
          <w:p>
            <w:pPr>
              <w:ind w:left="340"/>
              <w:spacing w:after="0"/>
              <w:rPr>
                <w:sz w:val="20"/>
                <w:szCs w:val="20"/>
                <w:color w:val="auto"/>
              </w:rPr>
            </w:pPr>
            <w:r>
              <w:rPr>
                <w:rFonts w:ascii="Arial" w:cs="Arial" w:eastAsia="Arial" w:hAnsi="Arial"/>
                <w:sz w:val="17"/>
                <w:szCs w:val="17"/>
                <w:color w:val="auto"/>
              </w:rPr>
              <w:t>State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w:t>
            </w:r>
          </w:p>
        </w:tc>
      </w:tr>
      <w:tr>
        <w:trPr>
          <w:trHeight w:val="215"/>
        </w:trPr>
        <w:tc>
          <w:tcPr>
            <w:tcW w:w="64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deferred income tax expense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(376,061)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r>
      <w:tr>
        <w:trPr>
          <w:trHeight w:val="24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(benefit from) provision for income taxes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(benefit from) provision for income taxes differs from the amount computed by applying the statutory federal tax rate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Year Ended January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gridSpan w:val="6"/>
          </w:tcPr>
          <w:p>
            <w:pPr>
              <w:jc w:val="center"/>
              <w:ind w:right="193"/>
              <w:spacing w:after="0"/>
              <w:rPr>
                <w:sz w:val="20"/>
                <w:szCs w:val="20"/>
                <w:color w:val="auto"/>
              </w:rPr>
            </w:pPr>
            <w:r>
              <w:rPr>
                <w:rFonts w:ascii="Arial" w:cs="Arial" w:eastAsia="Arial" w:hAnsi="Arial"/>
                <w:sz w:val="14"/>
                <w:szCs w:val="14"/>
                <w:b w:val="1"/>
                <w:bCs w:val="1"/>
                <w:color w:val="auto"/>
                <w:w w:val="86"/>
              </w:rPr>
              <w:t>(in thousands, except percentages)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at federal statutory rate</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231,350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142,387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State taxes</w:t>
            </w:r>
          </w:p>
        </w:tc>
        <w:tc>
          <w:tcPr>
            <w:tcW w:w="40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24,840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(2,096)</w:t>
            </w:r>
          </w:p>
        </w:tc>
        <w:tc>
          <w:tcPr>
            <w:tcW w:w="0" w:type="dxa"/>
            <w:vAlign w:val="bottom"/>
          </w:tcPr>
          <w:p>
            <w:pPr>
              <w:spacing w:after="0"/>
              <w:rPr>
                <w:sz w:val="1"/>
                <w:szCs w:val="1"/>
                <w:color w:val="auto"/>
              </w:rPr>
            </w:pP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(302,362)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(32,070)</w:t>
            </w: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Foreign-derived intangible income deduction</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Permanent items</w:t>
            </w:r>
          </w:p>
        </w:tc>
        <w:tc>
          <w:tcPr>
            <w:tcW w:w="40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3,971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22"/>
        </w:trPr>
        <w:tc>
          <w:tcPr>
            <w:tcW w:w="6040" w:type="dxa"/>
            <w:vAlign w:val="bottom"/>
          </w:tcPr>
          <w:p>
            <w:pPr>
              <w:ind w:left="20"/>
              <w:spacing w:after="0"/>
              <w:rPr>
                <w:sz w:val="20"/>
                <w:szCs w:val="20"/>
                <w:color w:val="auto"/>
              </w:rPr>
            </w:pPr>
            <w:r>
              <w:rPr>
                <w:rFonts w:ascii="Arial" w:cs="Arial" w:eastAsia="Arial" w:hAnsi="Arial"/>
                <w:sz w:val="17"/>
                <w:szCs w:val="17"/>
                <w:color w:val="auto"/>
              </w:rPr>
              <w:t>Tax uncertainties</w:t>
            </w:r>
          </w:p>
        </w:tc>
        <w:tc>
          <w:tcPr>
            <w:tcW w:w="40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165,869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30,932</w:t>
            </w:r>
          </w:p>
        </w:tc>
        <w:tc>
          <w:tcPr>
            <w:tcW w:w="0" w:type="dxa"/>
            <w:vAlign w:val="bottom"/>
          </w:tcPr>
          <w:p>
            <w:pPr>
              <w:spacing w:after="0"/>
              <w:rPr>
                <w:sz w:val="1"/>
                <w:szCs w:val="1"/>
                <w:color w:val="auto"/>
              </w:rPr>
            </w:pPr>
          </w:p>
        </w:tc>
      </w:tr>
      <w:tr>
        <w:trPr>
          <w:trHeight w:val="222"/>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35"/>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(274,007)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5,718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Effective tax rate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line="194" w:lineRule="exact"/>
              <w:rPr>
                <w:sz w:val="20"/>
                <w:szCs w:val="20"/>
                <w:color w:val="auto"/>
              </w:rPr>
            </w:pPr>
            <w:r>
              <w:rPr>
                <w:rFonts w:ascii="Arial" w:cs="Arial" w:eastAsia="Arial" w:hAnsi="Arial"/>
                <w:sz w:val="17"/>
                <w:szCs w:val="17"/>
                <w:color w:val="auto"/>
              </w:rPr>
              <w:t>0.8 %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Deferred income taxes result from differences in the recognition of amounts for tax and financial reporting purposes, as well as operating loss and tax credit carryforwards. Significant components of our deferred income tax assets as of January 31, 2022 and 2021 are as follows: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1"/>
        </w:trPr>
        <w:tc>
          <w:tcPr>
            <w:tcW w:w="75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11"/>
        </w:trPr>
        <w:tc>
          <w:tcPr>
            <w:tcW w:w="7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8"/>
                <w:szCs w:val="18"/>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2"/>
        </w:trPr>
        <w:tc>
          <w:tcPr>
            <w:tcW w:w="758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1060" w:type="dxa"/>
            <w:vAlign w:val="bottom"/>
          </w:tcPr>
          <w:p>
            <w:pPr>
              <w:jc w:val="right"/>
              <w:ind w:right="879"/>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21,558</w:t>
            </w:r>
          </w:p>
        </w:tc>
        <w:tc>
          <w:tcPr>
            <w:tcW w:w="100" w:type="dxa"/>
            <w:vAlign w:val="bottom"/>
          </w:tcPr>
          <w:p>
            <w:pPr>
              <w:spacing w:after="0"/>
              <w:rPr>
                <w:sz w:val="19"/>
                <w:szCs w:val="19"/>
                <w:color w:val="auto"/>
              </w:rPr>
            </w:pPr>
          </w:p>
        </w:tc>
        <w:tc>
          <w:tcPr>
            <w:tcW w:w="620" w:type="dxa"/>
            <w:vAlign w:val="bottom"/>
          </w:tcPr>
          <w:p>
            <w:pPr>
              <w:jc w:val="right"/>
              <w:ind w:right="41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341,487</w:t>
            </w:r>
          </w:p>
        </w:tc>
      </w:tr>
      <w:tr>
        <w:trPr>
          <w:trHeight w:val="22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 credit carryforwards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12,191</w:t>
            </w:r>
          </w:p>
        </w:tc>
      </w:tr>
      <w:tr>
        <w:trPr>
          <w:trHeight w:val="222"/>
        </w:trPr>
        <w:tc>
          <w:tcPr>
            <w:tcW w:w="75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44,490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37,255</w:t>
            </w:r>
          </w:p>
        </w:tc>
      </w:tr>
      <w:tr>
        <w:trPr>
          <w:trHeight w:val="22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and reserves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29,195</w:t>
            </w:r>
          </w:p>
        </w:tc>
      </w:tr>
      <w:tr>
        <w:trPr>
          <w:trHeight w:val="222"/>
        </w:trPr>
        <w:tc>
          <w:tcPr>
            <w:tcW w:w="758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260,322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6,565</w:t>
            </w:r>
          </w:p>
        </w:tc>
      </w:tr>
      <w:tr>
        <w:trPr>
          <w:trHeight w:val="22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Capitalized research expenditures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Operating lease liabilities</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25,892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27,842</w:t>
            </w:r>
          </w:p>
        </w:tc>
      </w:tr>
      <w:tr>
        <w:trPr>
          <w:trHeight w:val="215"/>
        </w:trPr>
        <w:tc>
          <w:tcPr>
            <w:tcW w:w="75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deferred tax assets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454,535</w:t>
            </w:r>
          </w:p>
        </w:tc>
      </w:tr>
      <w:tr>
        <w:trPr>
          <w:trHeight w:val="222"/>
        </w:trPr>
        <w:tc>
          <w:tcPr>
            <w:tcW w:w="75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Valuation allowance</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(335,051)</w:t>
            </w:r>
          </w:p>
        </w:tc>
      </w:tr>
      <w:tr>
        <w:trPr>
          <w:trHeight w:val="215"/>
        </w:trPr>
        <w:tc>
          <w:tcPr>
            <w:tcW w:w="75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deferred tax assets net of valuation allowance</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495,127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119,484</w:t>
            </w:r>
          </w:p>
        </w:tc>
      </w:tr>
      <w:tr>
        <w:trPr>
          <w:trHeight w:val="248"/>
        </w:trPr>
        <w:tc>
          <w:tcPr>
            <w:tcW w:w="7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2"/>
        </w:trPr>
        <w:tc>
          <w:tcPr>
            <w:tcW w:w="7580" w:type="dxa"/>
            <w:vAlign w:val="bottom"/>
          </w:tcPr>
          <w:p>
            <w:pPr>
              <w:ind w:left="340"/>
              <w:spacing w:after="0"/>
              <w:rPr>
                <w:sz w:val="20"/>
                <w:szCs w:val="20"/>
                <w:color w:val="auto"/>
              </w:rPr>
            </w:pPr>
            <w:r>
              <w:rPr>
                <w:rFonts w:ascii="Arial" w:cs="Arial" w:eastAsia="Arial" w:hAnsi="Arial"/>
                <w:sz w:val="17"/>
                <w:szCs w:val="17"/>
                <w:color w:val="auto"/>
              </w:rPr>
              <w:t>Property and equipment and intangible assets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(17,229)</w:t>
            </w:r>
          </w:p>
        </w:tc>
      </w:tr>
      <w:tr>
        <w:trPr>
          <w:trHeight w:val="22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contract acquisition costs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(76,593)</w:t>
            </w:r>
          </w:p>
        </w:tc>
      </w:tr>
      <w:tr>
        <w:trPr>
          <w:trHeight w:val="22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Operating right-of-use assets</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(25,550)</w:t>
            </w:r>
          </w:p>
        </w:tc>
      </w:tr>
      <w:tr>
        <w:trPr>
          <w:trHeight w:val="215"/>
        </w:trPr>
        <w:tc>
          <w:tcPr>
            <w:tcW w:w="75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deferred tax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(113,013)</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(119,372)</w:t>
            </w:r>
          </w:p>
        </w:tc>
      </w:tr>
      <w:tr>
        <w:trPr>
          <w:trHeight w:val="228"/>
        </w:trPr>
        <w:tc>
          <w:tcPr>
            <w:tcW w:w="7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382,114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470"/>
        <w:spacing w:after="0" w:line="281" w:lineRule="auto"/>
        <w:rPr>
          <w:sz w:val="20"/>
          <w:szCs w:val="20"/>
          <w:color w:val="auto"/>
        </w:rPr>
      </w:pPr>
      <w:r>
        <w:rPr>
          <w:rFonts w:ascii="Arial" w:cs="Arial" w:eastAsia="Arial" w:hAnsi="Arial"/>
          <w:sz w:val="15"/>
          <w:szCs w:val="15"/>
          <w:color w:val="auto"/>
        </w:rPr>
        <w:t>We review the likelihood that we will realize the benefit of our deferred tax assets and, therefore, the need for a valuation allowance on a quarterly basis. We have maintained a valuation allowance on all our U.S. and U.K. net deferred tax assets since our inception as it was determined that it was more likely than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not that we would not recognize the benefits of these assets. We continued to record a valuation allowance through the first nine months of fiscal 2022. In the fourth quarter of fiscal 2022, management concluded that the valuation allowance related to the U.S. federal and state deferred tax assets was no longer needed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primarily due to its assessment of income/loss in recent periods and the forecast of future taxable income. As of January 31, 2022, based on evaluation of all positive and negative evidence, management believes it is more likely than not that the net deferred tax assets will be realized for U.S. federal and state</w:t>
      </w:r>
    </w:p>
    <w:p>
      <w:pPr>
        <w:jc w:val="both"/>
        <w:spacing w:after="0"/>
        <w:rPr>
          <w:sz w:val="20"/>
          <w:szCs w:val="20"/>
          <w:color w:val="auto"/>
        </w:rPr>
      </w:pPr>
      <w:r>
        <w:rPr>
          <w:rFonts w:ascii="Arial" w:cs="Arial" w:eastAsia="Arial" w:hAnsi="Arial"/>
          <w:sz w:val="17"/>
          <w:szCs w:val="17"/>
          <w:color w:val="auto"/>
        </w:rPr>
        <w:t>purposes. Accordingly, management has recognized a non-recurring tax benefit of $328.0 million related to the valuation allowance reversal. As of January 31, 2022, we continued to maintain a valuation allowance of $12.6 million related to net deferred tax assets of our U.K. subsidiary and will maintain this valuation allowance until there is sufficient evidence to support the reversal of all or a portion of the valuation allowance.</w:t>
      </w:r>
    </w:p>
    <w:p>
      <w:pPr>
        <w:spacing w:after="0" w:line="8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January 31, 2022, we had net operating loss carryforwards of approximately $122.3 million for state income tax purposes, which will begin to expire in the year 2033 if unused. We also had certain foreign net operating loss carryforwards of $44.2 million, which have an indefinite life.</w:t>
      </w:r>
    </w:p>
    <w:p>
      <w:pPr>
        <w:spacing w:after="0" w:line="5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January 31, 2022, we also had research and development credit carryforwards of approximately $18.4 million for state income tax purposes. The state research and development tax credits carry forward indefinitely.</w:t>
      </w:r>
    </w:p>
    <w:p>
      <w:pPr>
        <w:spacing w:after="0" w:line="5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state net operating loss carryforwards may be subject to significant limitations under Section 382 and Section 383 of the Internal Revenue Code of 1986 and similar provisions under state law. Such provisions limit the net operating loss carryforwards that may be used in any given year in the event of special occurrences, including significant ownership changes. We have completed a Section 382 review and determined that none of our operating losses will expire solely due to Section 382 limitation(s).</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the beginning and ending balance of total unrecognized tax benefits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Unrecognized Tax Benefits (in thousands)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9"/>
              </w:rPr>
              <w:t>Year Ended January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1"/>
        </w:trPr>
        <w:tc>
          <w:tcPr>
            <w:tcW w:w="63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59"/>
        </w:trPr>
        <w:tc>
          <w:tcPr>
            <w:tcW w:w="6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14,884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Tax Positions taken in prior year:</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increases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tcPr>
          <w:p>
            <w:pPr>
              <w:ind w:left="340"/>
              <w:spacing w:after="0"/>
              <w:rPr>
                <w:sz w:val="20"/>
                <w:szCs w:val="20"/>
                <w:color w:val="auto"/>
              </w:rPr>
            </w:pPr>
            <w:r>
              <w:rPr>
                <w:rFonts w:ascii="Arial" w:cs="Arial" w:eastAsia="Arial" w:hAnsi="Arial"/>
                <w:sz w:val="17"/>
                <w:szCs w:val="17"/>
                <w:color w:val="auto"/>
              </w:rPr>
              <w:t>Gross decreases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Positions taken in current year: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2"/>
        </w:trPr>
        <w:tc>
          <w:tcPr>
            <w:tcW w:w="6320" w:type="dxa"/>
            <w:vAlign w:val="bottom"/>
          </w:tcPr>
          <w:p>
            <w:pPr>
              <w:ind w:left="440"/>
              <w:spacing w:after="0"/>
              <w:rPr>
                <w:sz w:val="20"/>
                <w:szCs w:val="20"/>
                <w:color w:val="auto"/>
              </w:rPr>
            </w:pPr>
            <w:r>
              <w:rPr>
                <w:rFonts w:ascii="Arial" w:cs="Arial" w:eastAsia="Arial" w:hAnsi="Arial"/>
                <w:sz w:val="17"/>
                <w:szCs w:val="17"/>
                <w:color w:val="auto"/>
              </w:rPr>
              <w:t>Gross increases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8,211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5,328</w:t>
            </w:r>
          </w:p>
        </w:tc>
      </w:tr>
      <w:tr>
        <w:trPr>
          <w:trHeight w:val="222"/>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decreases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Lapse of Statute of Limitations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320" w:type="dxa"/>
            <w:vAlign w:val="bottom"/>
          </w:tcPr>
          <w:p>
            <w:pPr>
              <w:ind w:left="20"/>
              <w:spacing w:after="0"/>
              <w:rPr>
                <w:sz w:val="20"/>
                <w:szCs w:val="20"/>
                <w:color w:val="auto"/>
              </w:rPr>
            </w:pPr>
            <w:r>
              <w:rPr>
                <w:rFonts w:ascii="Arial" w:cs="Arial" w:eastAsia="Arial" w:hAnsi="Arial"/>
                <w:sz w:val="17"/>
                <w:szCs w:val="17"/>
                <w:color w:val="auto"/>
              </w:rPr>
              <w:t>Balance, end of year</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19,171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14,884</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8,106</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of January 31, 2022, gross unrecognized tax benefits related to uncertain tax positions were $19.2 million ($19.6 million total, including $0.4 million associated with interest and penalties). As of January 31, 2021, gross unrecognized tax benefits related to uncertain tax positions were $14.9 million ($15.0 million total, including $0.1 million associated with interest and penalties). As of January 31, 2020, gross unrecognized tax benefits related to uncertain tax positions were $8.1 million ($8.4 million total, including $0.3 million associated with interest and penalties). We recognized approximately $0.4 million, $0.1 million, and $0.3 million in potential interest and penalties associated with uncertain tax positions during fiscal years ended January 31, 2022, 2021, and 2020,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spacing w:after="0" w:line="7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file income tax returns in the U.S. federal jurisdiction, various state jurisdictions, and various foreign jurisdictions. As of January 31, 2022, all of the years remain open to examination by the federal and state tax authorities, for three or four years from the tax year in which net operating losses or tax credits are utilized.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pacing w:after="0" w:line="75"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On March 11, 2021, the American Rescue Plan Act of 2021 (“American Rescue Plan Act”) was passed into law and amended portions of relevant tax laws. The American Rescue Plan Act did not have a significant impact on the provision for income taxes for the fiscal year ended January 31, 2022.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Net Income Per Share Attributable to Common Stockholders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sets forth the computation of basic and diluted net income per share attributable to common stockholders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39"/>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9"/>
          </w:tcPr>
          <w:p>
            <w:pPr>
              <w:jc w:val="right"/>
              <w:ind w:right="42"/>
              <w:spacing w:after="0"/>
              <w:rPr>
                <w:sz w:val="20"/>
                <w:szCs w:val="20"/>
                <w:color w:val="auto"/>
              </w:rPr>
            </w:pPr>
            <w:r>
              <w:rPr>
                <w:rFonts w:ascii="Arial" w:cs="Arial" w:eastAsia="Arial" w:hAnsi="Arial"/>
                <w:sz w:val="14"/>
                <w:szCs w:val="14"/>
                <w:b w:val="1"/>
                <w:bCs w:val="1"/>
                <w:color w:val="auto"/>
              </w:rPr>
              <w:t>(in thousands, except share and per share data)</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1,105,368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270,271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19,855</w:t>
            </w:r>
          </w:p>
        </w:tc>
        <w:tc>
          <w:tcPr>
            <w:tcW w:w="0" w:type="dxa"/>
            <w:vAlign w:val="bottom"/>
          </w:tcPr>
          <w:p>
            <w:pPr>
              <w:spacing w:after="0"/>
              <w:rPr>
                <w:sz w:val="1"/>
                <w:szCs w:val="1"/>
                <w:color w:val="auto"/>
              </w:rPr>
            </w:pPr>
          </w:p>
        </w:tc>
      </w:tr>
      <w:tr>
        <w:trPr>
          <w:trHeight w:val="160"/>
        </w:trPr>
        <w:tc>
          <w:tcPr>
            <w:tcW w:w="4180" w:type="dxa"/>
            <w:vAlign w:val="bottom"/>
          </w:tcPr>
          <w:p>
            <w:pPr>
              <w:ind w:left="20"/>
              <w:spacing w:after="0" w:line="160" w:lineRule="exact"/>
              <w:rPr>
                <w:sz w:val="20"/>
                <w:szCs w:val="20"/>
                <w:color w:val="auto"/>
              </w:rPr>
            </w:pPr>
            <w:r>
              <w:rPr>
                <w:rFonts w:ascii="Arial" w:cs="Arial" w:eastAsia="Arial" w:hAnsi="Arial"/>
                <w:sz w:val="16"/>
                <w:szCs w:val="16"/>
                <w:color w:val="auto"/>
              </w:rPr>
              <w:t>Less: undistributed earnings attributable to participating</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basic</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1,105,368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269,689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1"/>
              </w:rPr>
              <w:t>Reallocation of net income 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(23,891)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
              <w:spacing w:after="0" w:line="178" w:lineRule="exact"/>
              <w:rPr>
                <w:sz w:val="20"/>
                <w:szCs w:val="20"/>
                <w:color w:val="auto"/>
              </w:rPr>
            </w:pPr>
            <w:r>
              <w:rPr>
                <w:rFonts w:ascii="Arial" w:cs="Arial" w:eastAsia="Arial" w:hAnsi="Arial"/>
                <w:sz w:val="16"/>
                <w:szCs w:val="16"/>
                <w:color w:val="auto"/>
              </w:rPr>
              <w:t>23,891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(14,321)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14,321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(439)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diluted</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1,081,477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293,580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252,880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6"/>
              </w:rPr>
              <w:t>Weighted-average shares used in computing net income per</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94"/>
              </w:rPr>
              <w:t>238,214,936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99"/>
              </w:rPr>
              <w:t>58,119,958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183,015,245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100,838,409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w w:val="97"/>
              </w:rPr>
              <w:t>58,541,269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175,100,067</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attributable to common stockholders, basic</w:t>
            </w: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20"/>
              <w:spacing w:after="0" w:line="160" w:lineRule="exact"/>
              <w:rPr>
                <w:sz w:val="20"/>
                <w:szCs w:val="20"/>
                <w:color w:val="auto"/>
              </w:rPr>
            </w:pPr>
            <w:r>
              <w:rPr>
                <w:rFonts w:ascii="Arial" w:cs="Arial" w:eastAsia="Arial" w:hAnsi="Arial"/>
                <w:sz w:val="16"/>
                <w:szCs w:val="16"/>
                <w:color w:val="auto"/>
                <w:w w:val="96"/>
              </w:rPr>
              <w:t>Weighted-average shares used in computing net income per</w:t>
            </w:r>
          </w:p>
        </w:tc>
        <w:tc>
          <w:tcPr>
            <w:tcW w:w="1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w w:val="94"/>
              </w:rPr>
              <w:t>240,531,470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Arial" w:cs="Arial" w:eastAsia="Arial" w:hAnsi="Arial"/>
                <w:sz w:val="16"/>
                <w:szCs w:val="16"/>
                <w:color w:val="auto"/>
                <w:w w:val="99"/>
              </w:rPr>
              <w:t>65,295,035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185,860,412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112,267,257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w w:val="97"/>
              </w:rPr>
              <w:t>58,583,874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195,714,140</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attributable to common stockholders, diluted</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w w:val="98"/>
              </w:rPr>
              <w:t>Net income per share attributable to common stockholders,</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0.09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0"/>
        </w:trPr>
        <w:tc>
          <w:tcPr>
            <w:tcW w:w="418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Arial" w:cs="Arial" w:eastAsia="Arial" w:hAnsi="Arial"/>
                <w:sz w:val="16"/>
                <w:szCs w:val="16"/>
                <w:color w:val="auto"/>
                <w:w w:val="98"/>
              </w:rPr>
              <w:t>Net income per share 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180" w:type="dxa"/>
            <w:vAlign w:val="bottom"/>
            <w:vMerge w:val="continue"/>
          </w:tcPr>
          <w:p>
            <w:pPr>
              <w:spacing w:after="0"/>
              <w:rPr>
                <w:sz w:val="9"/>
                <w:szCs w:val="9"/>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9"/>
                <w:szCs w:val="9"/>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3"/>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9"/>
                <w:szCs w:val="9"/>
                <w:color w:val="auto"/>
              </w:rPr>
            </w:pP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9"/>
                <w:szCs w:val="9"/>
                <w:color w:val="auto"/>
              </w:rPr>
            </w:pP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9"/>
                <w:szCs w:val="9"/>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3"/>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9"/>
                <w:szCs w:val="9"/>
                <w:color w:val="auto"/>
              </w:rPr>
            </w:pP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line="180" w:lineRule="exact"/>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1"/>
        </w:trPr>
        <w:tc>
          <w:tcPr>
            <w:tcW w:w="410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5"/>
                <w:szCs w:val="15"/>
                <w:color w:val="auto"/>
              </w:rPr>
            </w:pPr>
          </w:p>
        </w:tc>
      </w:tr>
      <w:tr>
        <w:trPr>
          <w:trHeight w:val="176"/>
        </w:trPr>
        <w:tc>
          <w:tcPr>
            <w:tcW w:w="4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Class A</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Class B</w:t>
            </w: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06"/>
        </w:trPr>
        <w:tc>
          <w:tcPr>
            <w:tcW w:w="410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1080" w:type="dxa"/>
            <w:vAlign w:val="bottom"/>
          </w:tcPr>
          <w:p>
            <w:pPr>
              <w:jc w:val="right"/>
              <w:spacing w:after="0"/>
              <w:rPr>
                <w:sz w:val="20"/>
                <w:szCs w:val="20"/>
                <w:color w:val="auto"/>
              </w:rPr>
            </w:pPr>
            <w:r>
              <w:rPr>
                <w:rFonts w:ascii="Arial" w:cs="Arial" w:eastAsia="Arial" w:hAnsi="Arial"/>
                <w:sz w:val="16"/>
                <w:szCs w:val="16"/>
                <w:color w:val="auto"/>
              </w:rPr>
              <w:t>1,015,860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98,941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606,971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rights committed under the ESPP</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1,180,664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05"/>
        </w:trPr>
        <w:tc>
          <w:tcPr>
            <w:tcW w:w="4100" w:type="dxa"/>
            <w:vAlign w:val="bottom"/>
          </w:tcPr>
          <w:p>
            <w:pPr>
              <w:ind w:left="22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rPr>
                <w:sz w:val="20"/>
                <w:szCs w:val="20"/>
                <w:color w:val="auto"/>
              </w:rPr>
            </w:pPr>
            <w:r>
              <w:rPr>
                <w:rFonts w:ascii="Arial" w:cs="Arial" w:eastAsia="Arial" w:hAnsi="Arial"/>
                <w:sz w:val="16"/>
                <w:szCs w:val="16"/>
                <w:color w:val="auto"/>
              </w:rPr>
              <w:t>1,256,967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165,336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1,929,417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20"/>
        </w:trPr>
        <w:tc>
          <w:tcPr>
            <w:tcW w:w="4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table above does not include 405,156 for both January 31, 2022 and 2021, and 500,000 shares of issued Class A common stock held by us as of January 31, 2020, that are reserved for the sole purpose of being transferred to nonprofit organizations.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have evaluated subsequent events from the balance sheet date through March 7, 2022, the date at which the consolidated financial statements were available to be issued.</w:t>
      </w:r>
    </w:p>
    <w:p>
      <w:pPr>
        <w:spacing w:after="0" w:line="5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timing and the amount of any repurchased Class A common stock will be determined by our management based on its evaluation of market conditions and other factors, and the repurchase program will be funded using our working capital. The program may be modified, suspended or discontinued at any time.</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March 6, 2022, $997.1 million of the repurchase authorization remained available.</w:t>
      </w:r>
    </w:p>
    <w:p>
      <w:pPr>
        <w:spacing w:after="0" w:line="217" w:lineRule="exact"/>
        <w:rPr>
          <w:sz w:val="20"/>
          <w:szCs w:val="20"/>
          <w:color w:val="auto"/>
        </w:rPr>
      </w:pPr>
    </w:p>
    <w:p>
      <w:pPr>
        <w:ind w:right="1480"/>
        <w:spacing w:after="0" w:line="424"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2022 to provide reasonable assurance regarding the reliability of financial reporting and the preparation of financial statements in accordance with U.S. GAAP.</w:t>
      </w:r>
    </w:p>
    <w:p>
      <w:pPr>
        <w:spacing w:after="0" w:line="7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effectiveness of our internal control over financial reporting as of January 31, 2022 has been audited by KPMG LLP, an independent registered public accounting firm, as stated in their report, which is included in Item 8 of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has been no change in our internal control over financial reporting (as defined in Rules 13a-15(d) and 15d-15(d) under the Exchange Act) that occurred during the quarter ended January 31, 2022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124"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ind w:right="3400"/>
        <w:spacing w:after="0" w:line="424" w:lineRule="auto"/>
        <w:rPr>
          <w:sz w:val="20"/>
          <w:szCs w:val="20"/>
          <w:color w:val="auto"/>
        </w:rPr>
      </w:pPr>
      <w:r>
        <w:rPr>
          <w:rFonts w:ascii="Arial" w:cs="Arial" w:eastAsia="Arial" w:hAnsi="Arial"/>
          <w:sz w:val="17"/>
          <w:szCs w:val="17"/>
          <w:b w:val="1"/>
          <w:bCs w:val="1"/>
          <w:color w:val="auto"/>
        </w:rPr>
        <w:t xml:space="preserve">Item 9C. DISCLOSURE REGARDING FOREIGN JURISDICTIONS THAT PREVENT INSPECTIONS </w:t>
      </w:r>
      <w:r>
        <w:rPr>
          <w:rFonts w:ascii="Arial" w:cs="Arial" w:eastAsia="Arial" w:hAnsi="Arial"/>
          <w:sz w:val="17"/>
          <w:szCs w:val="17"/>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remaining information required by this item is incorporated by reference to the definitive Proxy Statement for our 2022 Annual Meeting of Stockholders, which will be filed with the SEC no later than 120 days after January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2022 Annual Meeting of Stockholders, which will be filed with the SEC no later than 120 days after January 31,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06" w:lineRule="exact"/>
        <w:rPr>
          <w:sz w:val="20"/>
          <w:szCs w:val="20"/>
          <w:color w:val="auto"/>
        </w:rPr>
      </w:pPr>
    </w:p>
    <w:p>
      <w:pPr>
        <w:ind w:left="720" w:hanging="245"/>
        <w:spacing w:after="0"/>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following documents are filed as a part of this Annual Report on Form 10-K:</w:t>
      </w:r>
    </w:p>
    <w:p>
      <w:pPr>
        <w:spacing w:after="0" w:line="118"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(1) Consolidated Financial Statements:</w:t>
      </w:r>
    </w:p>
    <w:p>
      <w:pPr>
        <w:spacing w:after="0" w:line="118"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5"/>
          <w:szCs w:val="15"/>
          <w:color w:val="auto"/>
        </w:rPr>
        <w:t>Our Consolidated Financial Statements are listed in the “Index to Consolidated Financial Statements” under Part II, Item 8 of this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 Financial Statement Schedules:</w:t>
      </w:r>
    </w:p>
    <w:p>
      <w:pPr>
        <w:spacing w:after="0" w:line="11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Schedule II: Valuation and Qualifying Accounts is filed as part of this Annual Report on Form 10-K and should be read in conjunction with the Consolidated Financial Statements and Notes thereto.</w:t>
      </w:r>
    </w:p>
    <w:p>
      <w:pPr>
        <w:spacing w:after="0" w:line="54"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herein.</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(3) Exhibits</w:t>
      </w:r>
    </w:p>
    <w:p>
      <w:pPr>
        <w:spacing w:after="0" w:line="11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04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Incorporated by Reference</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560" w:type="dxa"/>
            <w:vAlign w:val="bottom"/>
          </w:tcPr>
          <w:p>
            <w:pPr>
              <w:ind w:left="780"/>
              <w:spacing w:after="0"/>
              <w:rPr>
                <w:sz w:val="20"/>
                <w:szCs w:val="20"/>
                <w:color w:val="auto"/>
              </w:rPr>
            </w:pPr>
            <w:r>
              <w:rPr>
                <w:rFonts w:ascii="Arial" w:cs="Arial" w:eastAsia="Arial" w:hAnsi="Arial"/>
                <w:sz w:val="14"/>
                <w:szCs w:val="14"/>
                <w:b w:val="1"/>
                <w:bCs w:val="1"/>
                <w:color w:val="auto"/>
              </w:rPr>
              <w:t>Form</w:t>
            </w:r>
          </w:p>
        </w:tc>
        <w:tc>
          <w:tcPr>
            <w:tcW w:w="1560" w:type="dxa"/>
            <w:vAlign w:val="bottom"/>
          </w:tcPr>
          <w:p>
            <w:pPr>
              <w:ind w:left="680"/>
              <w:spacing w:after="0"/>
              <w:rPr>
                <w:sz w:val="20"/>
                <w:szCs w:val="20"/>
                <w:color w:val="auto"/>
              </w:rPr>
            </w:pPr>
            <w:r>
              <w:rPr>
                <w:rFonts w:ascii="Arial" w:cs="Arial" w:eastAsia="Arial" w:hAnsi="Arial"/>
                <w:sz w:val="14"/>
                <w:szCs w:val="14"/>
                <w:b w:val="1"/>
                <w:bCs w:val="1"/>
                <w:color w:val="auto"/>
              </w:rPr>
              <w:t>File No.</w:t>
            </w:r>
          </w:p>
        </w:tc>
        <w:tc>
          <w:tcPr>
            <w:tcW w:w="1500" w:type="dxa"/>
            <w:vAlign w:val="bottom"/>
          </w:tcPr>
          <w:p>
            <w:pPr>
              <w:jc w:val="right"/>
              <w:ind w:right="33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9"/>
        </w:trPr>
        <w:tc>
          <w:tcPr>
            <w:tcW w:w="1040" w:type="dxa"/>
            <w:vAlign w:val="bottom"/>
          </w:tcPr>
          <w:p>
            <w:pPr>
              <w:ind w:left="480"/>
              <w:spacing w:after="0" w:line="149" w:lineRule="exact"/>
              <w:rPr>
                <w:sz w:val="20"/>
                <w:szCs w:val="20"/>
                <w:color w:val="auto"/>
              </w:rPr>
            </w:pPr>
            <w:r>
              <w:rPr>
                <w:rFonts w:ascii="Arial" w:cs="Arial" w:eastAsia="Arial" w:hAnsi="Arial"/>
                <w:sz w:val="14"/>
                <w:szCs w:val="14"/>
                <w:color w:val="auto"/>
              </w:rPr>
              <w:t>3.1</w:t>
            </w:r>
          </w:p>
        </w:tc>
        <w:tc>
          <w:tcPr>
            <w:tcW w:w="120" w:type="dxa"/>
            <w:vAlign w:val="bottom"/>
            <w:vMerge w:val="restart"/>
          </w:tcPr>
          <w:p>
            <w:pPr>
              <w:spacing w:after="0"/>
              <w:rPr>
                <w:sz w:val="12"/>
                <w:szCs w:val="12"/>
                <w:color w:val="auto"/>
              </w:rPr>
            </w:pPr>
          </w:p>
        </w:tc>
        <w:tc>
          <w:tcPr>
            <w:tcW w:w="480" w:type="dxa"/>
            <w:vAlign w:val="bottom"/>
            <w:vMerge w:val="restart"/>
          </w:tcPr>
          <w:p>
            <w:pPr>
              <w:spacing w:after="0"/>
              <w:rPr>
                <w:rFonts w:ascii="Arial" w:cs="Arial" w:eastAsia="Arial" w:hAnsi="Arial"/>
                <w:sz w:val="14"/>
                <w:szCs w:val="14"/>
                <w:color w:val="0000FF"/>
              </w:rPr>
            </w:pPr>
            <w:hyperlink r:id="rId111">
              <w:r>
                <w:rPr>
                  <w:rFonts w:ascii="Arial" w:cs="Arial" w:eastAsia="Arial" w:hAnsi="Arial"/>
                  <w:sz w:val="14"/>
                  <w:szCs w:val="14"/>
                  <w:color w:val="0000FF"/>
                </w:rPr>
                <w:t>Video</w:t>
              </w:r>
            </w:hyperlink>
          </w:p>
        </w:tc>
        <w:tc>
          <w:tcPr>
            <w:tcW w:w="3600" w:type="dxa"/>
            <w:vAlign w:val="bottom"/>
            <w:gridSpan w:val="6"/>
          </w:tcPr>
          <w:p>
            <w:pPr>
              <w:spacing w:after="0" w:line="149" w:lineRule="exact"/>
              <w:rPr>
                <w:rFonts w:ascii="Arial" w:cs="Arial" w:eastAsia="Arial" w:hAnsi="Arial"/>
                <w:sz w:val="14"/>
                <w:szCs w:val="14"/>
                <w:color w:val="0000FF"/>
                <w:w w:val="96"/>
              </w:rPr>
            </w:pPr>
            <w:hyperlink r:id="rId111">
              <w:r>
                <w:rPr>
                  <w:rFonts w:ascii="Arial" w:cs="Arial" w:eastAsia="Arial" w:hAnsi="Arial"/>
                  <w:sz w:val="14"/>
                  <w:szCs w:val="14"/>
                  <w:color w:val="0000FF"/>
                  <w:w w:val="96"/>
                </w:rPr>
                <w:t>Amended and Restated Certificate of Incorporation of Zoom</w:t>
              </w:r>
            </w:hyperlink>
          </w:p>
        </w:tc>
        <w:tc>
          <w:tcPr>
            <w:tcW w:w="1560" w:type="dxa"/>
            <w:vAlign w:val="bottom"/>
          </w:tcPr>
          <w:p>
            <w:pPr>
              <w:ind w:left="480"/>
              <w:spacing w:after="0" w:line="149" w:lineRule="exact"/>
              <w:rPr>
                <w:sz w:val="20"/>
                <w:szCs w:val="20"/>
                <w:color w:val="auto"/>
              </w:rPr>
            </w:pPr>
            <w:r>
              <w:rPr>
                <w:rFonts w:ascii="Arial" w:cs="Arial" w:eastAsia="Arial" w:hAnsi="Arial"/>
                <w:sz w:val="14"/>
                <w:szCs w:val="14"/>
                <w:color w:val="auto"/>
              </w:rPr>
              <w:t>8-K</w:t>
            </w:r>
          </w:p>
        </w:tc>
        <w:tc>
          <w:tcPr>
            <w:tcW w:w="1560" w:type="dxa"/>
            <w:vAlign w:val="bottom"/>
          </w:tcPr>
          <w:p>
            <w:pPr>
              <w:ind w:left="460"/>
              <w:spacing w:after="0" w:line="149" w:lineRule="exact"/>
              <w:rPr>
                <w:sz w:val="20"/>
                <w:szCs w:val="20"/>
                <w:color w:val="auto"/>
              </w:rPr>
            </w:pPr>
            <w:r>
              <w:rPr>
                <w:rFonts w:ascii="Arial" w:cs="Arial" w:eastAsia="Arial" w:hAnsi="Arial"/>
                <w:sz w:val="14"/>
                <w:szCs w:val="14"/>
                <w:color w:val="auto"/>
              </w:rPr>
              <w:t>001-38865</w:t>
            </w:r>
          </w:p>
        </w:tc>
        <w:tc>
          <w:tcPr>
            <w:tcW w:w="1500" w:type="dxa"/>
            <w:vAlign w:val="bottom"/>
          </w:tcPr>
          <w:p>
            <w:pPr>
              <w:jc w:val="right"/>
              <w:ind w:right="830"/>
              <w:spacing w:after="0" w:line="149" w:lineRule="exact"/>
              <w:rPr>
                <w:sz w:val="20"/>
                <w:szCs w:val="20"/>
                <w:color w:val="auto"/>
              </w:rPr>
            </w:pPr>
            <w:r>
              <w:rPr>
                <w:rFonts w:ascii="Arial" w:cs="Arial" w:eastAsia="Arial" w:hAnsi="Arial"/>
                <w:sz w:val="14"/>
                <w:szCs w:val="14"/>
                <w:color w:val="auto"/>
              </w:rPr>
              <w:t>3.1</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April 23, 2019</w:t>
            </w:r>
          </w:p>
        </w:tc>
        <w:tc>
          <w:tcPr>
            <w:tcW w:w="0" w:type="dxa"/>
            <w:vAlign w:val="bottom"/>
          </w:tcPr>
          <w:p>
            <w:pPr>
              <w:spacing w:after="0"/>
              <w:rPr>
                <w:sz w:val="1"/>
                <w:szCs w:val="1"/>
                <w:color w:val="auto"/>
              </w:rPr>
            </w:pPr>
          </w:p>
        </w:tc>
      </w:tr>
      <w:tr>
        <w:trPr>
          <w:trHeight w:val="111"/>
        </w:trPr>
        <w:tc>
          <w:tcPr>
            <w:tcW w:w="10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380" w:type="dxa"/>
            <w:vAlign w:val="bottom"/>
            <w:tcBorders>
              <w:top w:val="single" w:sz="8" w:color="0000FF"/>
            </w:tcBorders>
            <w:gridSpan w:val="5"/>
          </w:tcPr>
          <w:p>
            <w:pPr>
              <w:spacing w:after="0" w:line="111" w:lineRule="exact"/>
              <w:rPr>
                <w:rFonts w:ascii="Arial" w:cs="Arial" w:eastAsia="Arial" w:hAnsi="Arial"/>
                <w:sz w:val="12"/>
                <w:szCs w:val="12"/>
                <w:color w:val="0000FF"/>
              </w:rPr>
            </w:pPr>
            <w:hyperlink r:id="rId111">
              <w:r>
                <w:rPr>
                  <w:rFonts w:ascii="Arial" w:cs="Arial" w:eastAsia="Arial" w:hAnsi="Arial"/>
                  <w:sz w:val="12"/>
                  <w:szCs w:val="12"/>
                  <w:color w:val="0000FF"/>
                </w:rPr>
                <w:t>Communications, Inc.</w:t>
              </w:r>
            </w:hyperlink>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ind w:left="48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gridSpan w:val="6"/>
          </w:tcPr>
          <w:p>
            <w:pPr>
              <w:spacing w:after="0"/>
              <w:rPr>
                <w:rFonts w:ascii="Arial" w:cs="Arial" w:eastAsia="Arial" w:hAnsi="Arial"/>
                <w:sz w:val="14"/>
                <w:szCs w:val="14"/>
                <w:color w:val="auto"/>
              </w:rPr>
            </w:pPr>
            <w:hyperlink r:id="rId112">
              <w:r>
                <w:rPr>
                  <w:rFonts w:ascii="Arial" w:cs="Arial" w:eastAsia="Arial" w:hAnsi="Arial"/>
                  <w:sz w:val="14"/>
                  <w:szCs w:val="14"/>
                  <w:color w:val="auto"/>
                </w:rPr>
                <w:t>Amended and Restated Bylaws of Zoom Video</w:t>
              </w:r>
            </w:hyperlink>
          </w:p>
        </w:tc>
        <w:tc>
          <w:tcPr>
            <w:tcW w:w="1560" w:type="dxa"/>
            <w:vAlign w:val="bottom"/>
          </w:tcPr>
          <w:p>
            <w:pPr>
              <w:ind w:left="480"/>
              <w:spacing w:after="0"/>
              <w:rPr>
                <w:sz w:val="20"/>
                <w:szCs w:val="20"/>
                <w:color w:val="auto"/>
              </w:rPr>
            </w:pPr>
            <w:r>
              <w:rPr>
                <w:rFonts w:ascii="Arial" w:cs="Arial" w:eastAsia="Arial" w:hAnsi="Arial"/>
                <w:sz w:val="14"/>
                <w:szCs w:val="14"/>
                <w:color w:val="auto"/>
              </w:rPr>
              <w:t>S-1/A</w:t>
            </w:r>
          </w:p>
        </w:tc>
        <w:tc>
          <w:tcPr>
            <w:tcW w:w="1560" w:type="dxa"/>
            <w:vAlign w:val="bottom"/>
          </w:tcPr>
          <w:p>
            <w:pPr>
              <w:ind w:left="460"/>
              <w:spacing w:after="0"/>
              <w:rPr>
                <w:sz w:val="20"/>
                <w:szCs w:val="20"/>
                <w:color w:val="auto"/>
              </w:rPr>
            </w:pPr>
            <w:r>
              <w:rPr>
                <w:rFonts w:ascii="Arial" w:cs="Arial" w:eastAsia="Arial" w:hAnsi="Arial"/>
                <w:sz w:val="14"/>
                <w:szCs w:val="14"/>
                <w:color w:val="auto"/>
              </w:rPr>
              <w:t>333-230444</w:t>
            </w:r>
          </w:p>
        </w:tc>
        <w:tc>
          <w:tcPr>
            <w:tcW w:w="1500" w:type="dxa"/>
            <w:vAlign w:val="bottom"/>
          </w:tcPr>
          <w:p>
            <w:pPr>
              <w:jc w:val="right"/>
              <w:ind w:right="830"/>
              <w:spacing w:after="0"/>
              <w:rPr>
                <w:sz w:val="20"/>
                <w:szCs w:val="20"/>
                <w:color w:val="auto"/>
              </w:rPr>
            </w:pPr>
            <w:r>
              <w:rPr>
                <w:rFonts w:ascii="Arial" w:cs="Arial" w:eastAsia="Arial" w:hAnsi="Arial"/>
                <w:sz w:val="14"/>
                <w:szCs w:val="14"/>
                <w:color w:val="auto"/>
              </w:rPr>
              <w:t>3.4</w:t>
            </w:r>
          </w:p>
        </w:tc>
        <w:tc>
          <w:tcPr>
            <w:tcW w:w="1360" w:type="dxa"/>
            <w:vAlign w:val="bottom"/>
          </w:tcPr>
          <w:p>
            <w:pPr>
              <w:ind w:left="420"/>
              <w:spacing w:after="0"/>
              <w:rPr>
                <w:sz w:val="20"/>
                <w:szCs w:val="20"/>
                <w:color w:val="auto"/>
              </w:rPr>
            </w:pPr>
            <w:r>
              <w:rPr>
                <w:rFonts w:ascii="Arial" w:cs="Arial" w:eastAsia="Arial" w:hAnsi="Arial"/>
                <w:sz w:val="14"/>
                <w:szCs w:val="14"/>
                <w:color w:val="auto"/>
              </w:rPr>
              <w:t>April 8, 2019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auto"/>
            </w:tcBorders>
            <w:gridSpan w:val="2"/>
          </w:tcPr>
          <w:p>
            <w:pPr>
              <w:spacing w:after="0" w:line="111" w:lineRule="exact"/>
              <w:rPr>
                <w:rFonts w:ascii="Arial" w:cs="Arial" w:eastAsia="Arial" w:hAnsi="Arial"/>
                <w:sz w:val="12"/>
                <w:szCs w:val="12"/>
                <w:color w:val="auto"/>
              </w:rPr>
            </w:pPr>
            <w:hyperlink r:id="rId112">
              <w:r>
                <w:rPr>
                  <w:rFonts w:ascii="Arial" w:cs="Arial" w:eastAsia="Arial" w:hAnsi="Arial"/>
                  <w:sz w:val="12"/>
                  <w:szCs w:val="12"/>
                  <w:color w:val="auto"/>
                </w:rPr>
                <w:t>Communications, Inc.</w:t>
              </w:r>
            </w:hyperlink>
          </w:p>
        </w:tc>
        <w:tc>
          <w:tcPr>
            <w:tcW w:w="1860" w:type="dxa"/>
            <w:vAlign w:val="bottom"/>
            <w:gridSpan w:val="3"/>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5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040" w:type="dxa"/>
            <w:vAlign w:val="bottom"/>
          </w:tcPr>
          <w:p>
            <w:pPr>
              <w:ind w:left="48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0" w:type="dxa"/>
            <w:vAlign w:val="bottom"/>
            <w:gridSpan w:val="6"/>
          </w:tcPr>
          <w:p>
            <w:pPr>
              <w:spacing w:after="0"/>
              <w:rPr>
                <w:rFonts w:ascii="Arial" w:cs="Arial" w:eastAsia="Arial" w:hAnsi="Arial"/>
                <w:sz w:val="14"/>
                <w:szCs w:val="14"/>
                <w:color w:val="auto"/>
              </w:rPr>
            </w:pPr>
            <w:hyperlink r:id="rId113">
              <w:r>
                <w:rPr>
                  <w:rFonts w:ascii="Arial" w:cs="Arial" w:eastAsia="Arial" w:hAnsi="Arial"/>
                  <w:sz w:val="14"/>
                  <w:szCs w:val="14"/>
                  <w:color w:val="auto"/>
                </w:rPr>
                <w:t>Form of Class A Common Stock Certificate</w:t>
              </w:r>
            </w:hyperlink>
          </w:p>
        </w:tc>
        <w:tc>
          <w:tcPr>
            <w:tcW w:w="1560" w:type="dxa"/>
            <w:vAlign w:val="bottom"/>
          </w:tcPr>
          <w:p>
            <w:pPr>
              <w:ind w:left="480"/>
              <w:spacing w:after="0"/>
              <w:rPr>
                <w:sz w:val="20"/>
                <w:szCs w:val="20"/>
                <w:color w:val="auto"/>
              </w:rPr>
            </w:pPr>
            <w:r>
              <w:rPr>
                <w:rFonts w:ascii="Arial" w:cs="Arial" w:eastAsia="Arial" w:hAnsi="Arial"/>
                <w:sz w:val="14"/>
                <w:szCs w:val="14"/>
                <w:color w:val="auto"/>
              </w:rPr>
              <w:t>S-1/A</w:t>
            </w:r>
          </w:p>
        </w:tc>
        <w:tc>
          <w:tcPr>
            <w:tcW w:w="1560" w:type="dxa"/>
            <w:vAlign w:val="bottom"/>
          </w:tcPr>
          <w:p>
            <w:pPr>
              <w:ind w:left="460"/>
              <w:spacing w:after="0"/>
              <w:rPr>
                <w:sz w:val="20"/>
                <w:szCs w:val="20"/>
                <w:color w:val="auto"/>
              </w:rPr>
            </w:pPr>
            <w:r>
              <w:rPr>
                <w:rFonts w:ascii="Arial" w:cs="Arial" w:eastAsia="Arial" w:hAnsi="Arial"/>
                <w:sz w:val="14"/>
                <w:szCs w:val="14"/>
                <w:color w:val="auto"/>
              </w:rPr>
              <w:t>333-230444</w:t>
            </w:r>
          </w:p>
        </w:tc>
        <w:tc>
          <w:tcPr>
            <w:tcW w:w="1500" w:type="dxa"/>
            <w:vAlign w:val="bottom"/>
          </w:tcPr>
          <w:p>
            <w:pPr>
              <w:jc w:val="right"/>
              <w:ind w:right="830"/>
              <w:spacing w:after="0"/>
              <w:rPr>
                <w:sz w:val="20"/>
                <w:szCs w:val="20"/>
                <w:color w:val="auto"/>
              </w:rPr>
            </w:pPr>
            <w:r>
              <w:rPr>
                <w:rFonts w:ascii="Arial" w:cs="Arial" w:eastAsia="Arial" w:hAnsi="Arial"/>
                <w:sz w:val="14"/>
                <w:szCs w:val="14"/>
                <w:color w:val="auto"/>
              </w:rPr>
              <w:t>4.1</w:t>
            </w:r>
          </w:p>
        </w:tc>
        <w:tc>
          <w:tcPr>
            <w:tcW w:w="1360" w:type="dxa"/>
            <w:vAlign w:val="bottom"/>
          </w:tcPr>
          <w:p>
            <w:pPr>
              <w:ind w:left="420"/>
              <w:spacing w:after="0"/>
              <w:rPr>
                <w:sz w:val="20"/>
                <w:szCs w:val="20"/>
                <w:color w:val="auto"/>
              </w:rPr>
            </w:pPr>
            <w:r>
              <w:rPr>
                <w:rFonts w:ascii="Arial" w:cs="Arial" w:eastAsia="Arial" w:hAnsi="Arial"/>
                <w:sz w:val="14"/>
                <w:szCs w:val="14"/>
                <w:color w:val="auto"/>
              </w:rPr>
              <w:t>April 8, 2019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Borders>
              <w:bottom w:val="single" w:sz="8" w:color="0000FF"/>
            </w:tcBorders>
            <w:gridSpan w:val="37"/>
          </w:tcPr>
          <w:p>
            <w:pPr>
              <w:spacing w:after="0"/>
              <w:rPr>
                <w:rFonts w:ascii="Arial" w:cs="Arial" w:eastAsia="Arial" w:hAnsi="Arial"/>
                <w:sz w:val="14"/>
                <w:szCs w:val="14"/>
                <w:color w:val="0000FF"/>
                <w:w w:val="90"/>
              </w:rPr>
            </w:pPr>
            <w:hyperlink r:id="rId115">
              <w:r>
                <w:rPr>
                  <w:rFonts w:ascii="Arial" w:cs="Arial" w:eastAsia="Arial" w:hAnsi="Arial"/>
                  <w:sz w:val="14"/>
                  <w:szCs w:val="14"/>
                  <w:color w:val="0000FF"/>
                  <w:w w:val="90"/>
                </w:rPr>
                <w:t>Third Amended and Restated Investors’ Rights Agreement by</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960" w:type="dxa"/>
            <w:vAlign w:val="bottom"/>
            <w:gridSpan w:val="39"/>
          </w:tcPr>
          <w:p>
            <w:pPr>
              <w:spacing w:after="0" w:line="111" w:lineRule="exact"/>
              <w:rPr>
                <w:rFonts w:ascii="Arial" w:cs="Arial" w:eastAsia="Arial" w:hAnsi="Arial"/>
                <w:sz w:val="12"/>
                <w:szCs w:val="12"/>
                <w:color w:val="0000FF"/>
              </w:rPr>
            </w:pPr>
            <w:hyperlink r:id="rId115">
              <w:r>
                <w:rPr>
                  <w:rFonts w:ascii="Arial" w:cs="Arial" w:eastAsia="Arial" w:hAnsi="Arial"/>
                  <w:sz w:val="12"/>
                  <w:szCs w:val="12"/>
                  <w:color w:val="0000FF"/>
                </w:rPr>
                <w:t>and among the Registrant and certain of its stockholders, dated</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540" w:type="dxa"/>
            <w:vAlign w:val="bottom"/>
            <w:tcBorders>
              <w:top w:val="single" w:sz="8" w:color="0000FF"/>
            </w:tcBorders>
            <w:gridSpan w:val="22"/>
          </w:tcPr>
          <w:p>
            <w:pPr>
              <w:spacing w:after="0" w:line="111" w:lineRule="exact"/>
              <w:rPr>
                <w:rFonts w:ascii="Arial" w:cs="Arial" w:eastAsia="Arial" w:hAnsi="Arial"/>
                <w:sz w:val="12"/>
                <w:szCs w:val="12"/>
                <w:color w:val="0000FF"/>
              </w:rPr>
            </w:pPr>
            <w:hyperlink r:id="rId115">
              <w:r>
                <w:rPr>
                  <w:rFonts w:ascii="Arial" w:cs="Arial" w:eastAsia="Arial" w:hAnsi="Arial"/>
                  <w:sz w:val="12"/>
                  <w:szCs w:val="12"/>
                  <w:color w:val="0000FF"/>
                </w:rPr>
                <w:t>December 1, 2016.</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0000FF"/>
            </w:tcBorders>
            <w:gridSpan w:val="8"/>
          </w:tcPr>
          <w:p>
            <w:pPr>
              <w:spacing w:after="0"/>
              <w:rPr>
                <w:rFonts w:ascii="Arial" w:cs="Arial" w:eastAsia="Arial" w:hAnsi="Arial"/>
                <w:sz w:val="14"/>
                <w:szCs w:val="14"/>
                <w:color w:val="0000FF"/>
                <w:w w:val="88"/>
              </w:rPr>
            </w:pPr>
            <w:hyperlink w:anchor="page100">
              <w:r>
                <w:rPr>
                  <w:rFonts w:ascii="Arial" w:cs="Arial" w:eastAsia="Arial" w:hAnsi="Arial"/>
                  <w:sz w:val="14"/>
                  <w:szCs w:val="14"/>
                  <w:color w:val="0000FF"/>
                  <w:w w:val="88"/>
                </w:rPr>
                <w:t>Description of Securities</w:t>
              </w:r>
            </w:hyperlink>
          </w:p>
        </w:tc>
        <w:tc>
          <w:tcPr>
            <w:tcW w:w="218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w:t>
            </w:r>
          </w:p>
        </w:tc>
        <w:tc>
          <w:tcPr>
            <w:tcW w:w="500" w:type="dxa"/>
            <w:vAlign w:val="bottom"/>
            <w:gridSpan w:val="3"/>
            <w:vMerge w:val="restart"/>
          </w:tcPr>
          <w:p>
            <w:pPr>
              <w:spacing w:after="0"/>
              <w:rPr>
                <w:rFonts w:ascii="Arial" w:cs="Arial" w:eastAsia="Arial" w:hAnsi="Arial"/>
                <w:sz w:val="14"/>
                <w:szCs w:val="14"/>
                <w:color w:val="0000FF"/>
                <w:w w:val="82"/>
              </w:rPr>
            </w:pPr>
            <w:hyperlink r:id="rId116">
              <w:r>
                <w:rPr>
                  <w:rFonts w:ascii="Arial" w:cs="Arial" w:eastAsia="Arial" w:hAnsi="Arial"/>
                  <w:sz w:val="14"/>
                  <w:szCs w:val="14"/>
                  <w:color w:val="0000FF"/>
                  <w:w w:val="82"/>
                </w:rPr>
                <w:t>Restated</w:t>
              </w:r>
            </w:hyperlink>
          </w:p>
        </w:tc>
        <w:tc>
          <w:tcPr>
            <w:tcW w:w="3160" w:type="dxa"/>
            <w:vAlign w:val="bottom"/>
            <w:tcBorders>
              <w:bottom w:val="single" w:sz="8" w:color="0000FF"/>
            </w:tcBorders>
            <w:gridSpan w:val="22"/>
          </w:tcPr>
          <w:p>
            <w:pPr>
              <w:spacing w:after="0"/>
              <w:rPr>
                <w:rFonts w:ascii="Arial" w:cs="Arial" w:eastAsia="Arial" w:hAnsi="Arial"/>
                <w:sz w:val="14"/>
                <w:szCs w:val="14"/>
                <w:color w:val="0000FF"/>
                <w:w w:val="89"/>
              </w:rPr>
            </w:pPr>
            <w:hyperlink r:id="rId116">
              <w:r>
                <w:rPr>
                  <w:rFonts w:ascii="Arial" w:cs="Arial" w:eastAsia="Arial" w:hAnsi="Arial"/>
                  <w:sz w:val="14"/>
                  <w:szCs w:val="14"/>
                  <w:color w:val="0000FF"/>
                  <w:w w:val="89"/>
                </w:rPr>
                <w:t>Zoom Video Communications, Inc. Fourth Amended and</w:t>
              </w:r>
            </w:hyperlink>
          </w:p>
        </w:tc>
        <w:tc>
          <w:tcPr>
            <w:tcW w:w="3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540" w:type="dxa"/>
            <w:vAlign w:val="bottom"/>
            <w:gridSpan w:val="39"/>
          </w:tcPr>
          <w:p>
            <w:pPr>
              <w:spacing w:after="0" w:line="111" w:lineRule="exact"/>
              <w:rPr>
                <w:rFonts w:ascii="Arial" w:cs="Arial" w:eastAsia="Arial" w:hAnsi="Arial"/>
                <w:sz w:val="12"/>
                <w:szCs w:val="12"/>
                <w:color w:val="0000FF"/>
              </w:rPr>
            </w:pPr>
            <w:hyperlink r:id="rId116">
              <w:r>
                <w:rPr>
                  <w:rFonts w:ascii="Arial" w:cs="Arial" w:eastAsia="Arial" w:hAnsi="Arial"/>
                  <w:sz w:val="12"/>
                  <w:szCs w:val="12"/>
                  <w:color w:val="0000FF"/>
                </w:rPr>
                <w:t>2011 Global Share Plan, and forms of agreements thereunder.</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10.2#</w:t>
            </w:r>
          </w:p>
        </w:tc>
        <w:tc>
          <w:tcPr>
            <w:tcW w:w="500" w:type="dxa"/>
            <w:vAlign w:val="bottom"/>
            <w:gridSpan w:val="3"/>
            <w:vMerge w:val="restart"/>
          </w:tcPr>
          <w:p>
            <w:pPr>
              <w:spacing w:after="0"/>
              <w:rPr>
                <w:rFonts w:ascii="Arial" w:cs="Arial" w:eastAsia="Arial" w:hAnsi="Arial"/>
                <w:sz w:val="14"/>
                <w:szCs w:val="14"/>
                <w:color w:val="auto"/>
                <w:w w:val="83"/>
              </w:rPr>
            </w:pPr>
            <w:hyperlink r:id="rId117">
              <w:r>
                <w:rPr>
                  <w:rFonts w:ascii="Arial" w:cs="Arial" w:eastAsia="Arial" w:hAnsi="Arial"/>
                  <w:sz w:val="14"/>
                  <w:szCs w:val="14"/>
                  <w:color w:val="auto"/>
                  <w:w w:val="83"/>
                </w:rPr>
                <w:t>Plan and</w:t>
              </w:r>
            </w:hyperlink>
          </w:p>
        </w:tc>
        <w:tc>
          <w:tcPr>
            <w:tcW w:w="3540" w:type="dxa"/>
            <w:vAlign w:val="bottom"/>
            <w:gridSpan w:val="39"/>
          </w:tcPr>
          <w:p>
            <w:pPr>
              <w:spacing w:after="0"/>
              <w:rPr>
                <w:rFonts w:ascii="Arial" w:cs="Arial" w:eastAsia="Arial" w:hAnsi="Arial"/>
                <w:sz w:val="14"/>
                <w:szCs w:val="14"/>
                <w:color w:val="auto"/>
              </w:rPr>
            </w:pPr>
            <w:hyperlink r:id="rId117">
              <w:r>
                <w:rPr>
                  <w:rFonts w:ascii="Arial" w:cs="Arial" w:eastAsia="Arial" w:hAnsi="Arial"/>
                  <w:sz w:val="14"/>
                  <w:szCs w:val="14"/>
                  <w:color w:val="auto"/>
                </w:rPr>
                <w:t>Zoom Video Communications, Inc. 2019 Equity Incentive</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240" w:type="dxa"/>
            <w:vAlign w:val="bottom"/>
            <w:tcBorders>
              <w:top w:val="single" w:sz="8" w:color="auto"/>
            </w:tcBorders>
            <w:gridSpan w:val="26"/>
          </w:tcPr>
          <w:p>
            <w:pPr>
              <w:ind w:left="20"/>
              <w:spacing w:after="0" w:line="111" w:lineRule="exact"/>
              <w:rPr>
                <w:rFonts w:ascii="Arial" w:cs="Arial" w:eastAsia="Arial" w:hAnsi="Arial"/>
                <w:sz w:val="12"/>
                <w:szCs w:val="12"/>
                <w:color w:val="auto"/>
              </w:rPr>
            </w:pPr>
            <w:hyperlink r:id="rId117">
              <w:r>
                <w:rPr>
                  <w:rFonts w:ascii="Arial" w:cs="Arial" w:eastAsia="Arial" w:hAnsi="Arial"/>
                  <w:sz w:val="12"/>
                  <w:szCs w:val="12"/>
                  <w:color w:val="auto"/>
                </w:rPr>
                <w:t>forms of agreements thereunder.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10.3</w:t>
            </w:r>
          </w:p>
        </w:tc>
        <w:tc>
          <w:tcPr>
            <w:tcW w:w="500" w:type="dxa"/>
            <w:vAlign w:val="bottom"/>
            <w:gridSpan w:val="3"/>
            <w:vMerge w:val="restart"/>
          </w:tcPr>
          <w:p>
            <w:pPr>
              <w:spacing w:after="0"/>
              <w:rPr>
                <w:rFonts w:ascii="Arial" w:cs="Arial" w:eastAsia="Arial" w:hAnsi="Arial"/>
                <w:sz w:val="14"/>
                <w:szCs w:val="14"/>
                <w:color w:val="0000FF"/>
                <w:w w:val="79"/>
              </w:rPr>
            </w:pPr>
            <w:hyperlink r:id="rId118">
              <w:r>
                <w:rPr>
                  <w:rFonts w:ascii="Arial" w:cs="Arial" w:eastAsia="Arial" w:hAnsi="Arial"/>
                  <w:sz w:val="14"/>
                  <w:szCs w:val="14"/>
                  <w:color w:val="0000FF"/>
                  <w:w w:val="79"/>
                </w:rPr>
                <w:t>Plan Non</w:t>
              </w:r>
            </w:hyperlink>
          </w:p>
        </w:tc>
        <w:tc>
          <w:tcPr>
            <w:tcW w:w="3540" w:type="dxa"/>
            <w:vAlign w:val="bottom"/>
            <w:gridSpan w:val="39"/>
          </w:tcPr>
          <w:p>
            <w:pPr>
              <w:spacing w:after="0"/>
              <w:rPr>
                <w:rFonts w:ascii="Arial" w:cs="Arial" w:eastAsia="Arial" w:hAnsi="Arial"/>
                <w:sz w:val="14"/>
                <w:szCs w:val="14"/>
                <w:color w:val="0000FF"/>
              </w:rPr>
            </w:pPr>
            <w:hyperlink r:id="rId118">
              <w:r>
                <w:rPr>
                  <w:rFonts w:ascii="Arial" w:cs="Arial" w:eastAsia="Arial" w:hAnsi="Arial"/>
                  <w:sz w:val="14"/>
                  <w:szCs w:val="14"/>
                  <w:color w:val="0000FF"/>
                </w:rPr>
                <w:t>Zoom Video Communications, Inc. 2019 Equity Incentive</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240" w:type="dxa"/>
            <w:vAlign w:val="bottom"/>
            <w:tcBorders>
              <w:top w:val="single" w:sz="8" w:color="0000FF"/>
            </w:tcBorders>
            <w:gridSpan w:val="26"/>
          </w:tcPr>
          <w:p>
            <w:pPr>
              <w:ind w:left="20"/>
              <w:spacing w:after="0" w:line="111" w:lineRule="exact"/>
              <w:rPr>
                <w:rFonts w:ascii="Arial" w:cs="Arial" w:eastAsia="Arial" w:hAnsi="Arial"/>
                <w:sz w:val="12"/>
                <w:szCs w:val="12"/>
                <w:color w:val="0000FF"/>
              </w:rPr>
            </w:pPr>
            <w:hyperlink r:id="rId118">
              <w:r>
                <w:rPr>
                  <w:rFonts w:ascii="Arial" w:cs="Arial" w:eastAsia="Arial" w:hAnsi="Arial"/>
                  <w:sz w:val="12"/>
                  <w:szCs w:val="12"/>
                  <w:color w:val="0000FF"/>
                </w:rPr>
                <w:t>-Employee Director Global Restricted Stock Unit Award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60" w:type="dxa"/>
            <w:vAlign w:val="bottom"/>
            <w:tcBorders>
              <w:top w:val="single" w:sz="8" w:color="0000FF"/>
            </w:tcBorders>
            <w:gridSpan w:val="25"/>
          </w:tcPr>
          <w:p>
            <w:pPr>
              <w:spacing w:after="0" w:line="111" w:lineRule="exact"/>
              <w:rPr>
                <w:rFonts w:ascii="Arial" w:cs="Arial" w:eastAsia="Arial" w:hAnsi="Arial"/>
                <w:sz w:val="12"/>
                <w:szCs w:val="12"/>
                <w:color w:val="0000FF"/>
              </w:rPr>
            </w:pPr>
            <w:hyperlink r:id="rId118">
              <w:r>
                <w:rPr>
                  <w:rFonts w:ascii="Arial" w:cs="Arial" w:eastAsia="Arial" w:hAnsi="Arial"/>
                  <w:sz w:val="12"/>
                  <w:szCs w:val="12"/>
                  <w:color w:val="0000FF"/>
                </w:rPr>
                <w:t>Grant Notice, as amended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Borders>
              <w:bottom w:val="single" w:sz="8" w:color="0000FF"/>
            </w:tcBorders>
            <w:gridSpan w:val="27"/>
          </w:tcPr>
          <w:p>
            <w:pPr>
              <w:spacing w:after="0"/>
              <w:rPr>
                <w:rFonts w:ascii="Arial" w:cs="Arial" w:eastAsia="Arial" w:hAnsi="Arial"/>
                <w:sz w:val="14"/>
                <w:szCs w:val="14"/>
                <w:color w:val="0000FF"/>
                <w:w w:val="92"/>
              </w:rPr>
            </w:pPr>
            <w:hyperlink r:id="rId119">
              <w:r>
                <w:rPr>
                  <w:rFonts w:ascii="Arial" w:cs="Arial" w:eastAsia="Arial" w:hAnsi="Arial"/>
                  <w:sz w:val="14"/>
                  <w:szCs w:val="14"/>
                  <w:color w:val="0000FF"/>
                  <w:w w:val="92"/>
                </w:rPr>
                <w:t>Zoom Video Communications, Inc. 2019 Equity Incentive</w:t>
              </w:r>
            </w:hyperlink>
          </w:p>
        </w:tc>
        <w:tc>
          <w:tcPr>
            <w:tcW w:w="2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760" w:type="dxa"/>
            <w:vAlign w:val="bottom"/>
            <w:tcBorders>
              <w:bottom w:val="single" w:sz="8" w:color="0000FF"/>
            </w:tcBorders>
            <w:gridSpan w:val="30"/>
          </w:tcPr>
          <w:p>
            <w:pPr>
              <w:spacing w:after="0" w:line="111" w:lineRule="exact"/>
              <w:rPr>
                <w:rFonts w:ascii="Arial" w:cs="Arial" w:eastAsia="Arial" w:hAnsi="Arial"/>
                <w:sz w:val="12"/>
                <w:szCs w:val="12"/>
                <w:color w:val="0000FF"/>
              </w:rPr>
            </w:pPr>
            <w:hyperlink r:id="rId119">
              <w:r>
                <w:rPr>
                  <w:rFonts w:ascii="Arial" w:cs="Arial" w:eastAsia="Arial" w:hAnsi="Arial"/>
                  <w:sz w:val="12"/>
                  <w:szCs w:val="12"/>
                  <w:color w:val="0000FF"/>
                </w:rPr>
                <w:t>Plan Global Restricted Stock Unit Award Grant Notice for Executive</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900" w:type="dxa"/>
            <w:vAlign w:val="bottom"/>
            <w:gridSpan w:val="36"/>
          </w:tcPr>
          <w:p>
            <w:pPr>
              <w:spacing w:after="0" w:line="111" w:lineRule="exact"/>
              <w:rPr>
                <w:rFonts w:ascii="Arial" w:cs="Arial" w:eastAsia="Arial" w:hAnsi="Arial"/>
                <w:sz w:val="12"/>
                <w:szCs w:val="12"/>
                <w:color w:val="0000FF"/>
              </w:rPr>
            </w:pPr>
            <w:hyperlink r:id="rId119">
              <w:r>
                <w:rPr>
                  <w:rFonts w:ascii="Arial" w:cs="Arial" w:eastAsia="Arial" w:hAnsi="Arial"/>
                  <w:sz w:val="12"/>
                  <w:szCs w:val="12"/>
                  <w:color w:val="0000FF"/>
                </w:rPr>
                <w:t>Officers, as amended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10.5#</w:t>
            </w:r>
          </w:p>
        </w:tc>
        <w:tc>
          <w:tcPr>
            <w:tcW w:w="500" w:type="dxa"/>
            <w:vAlign w:val="bottom"/>
            <w:gridSpan w:val="3"/>
            <w:vMerge w:val="restart"/>
          </w:tcPr>
          <w:p>
            <w:pPr>
              <w:spacing w:after="0"/>
              <w:rPr>
                <w:rFonts w:ascii="Arial" w:cs="Arial" w:eastAsia="Arial" w:hAnsi="Arial"/>
                <w:sz w:val="14"/>
                <w:szCs w:val="14"/>
                <w:color w:val="auto"/>
                <w:w w:val="77"/>
              </w:rPr>
            </w:pPr>
            <w:hyperlink r:id="rId120">
              <w:r>
                <w:rPr>
                  <w:rFonts w:ascii="Arial" w:cs="Arial" w:eastAsia="Arial" w:hAnsi="Arial"/>
                  <w:sz w:val="14"/>
                  <w:szCs w:val="14"/>
                  <w:color w:val="auto"/>
                  <w:w w:val="77"/>
                </w:rPr>
                <w:t>Purchase</w:t>
              </w:r>
            </w:hyperlink>
          </w:p>
        </w:tc>
        <w:tc>
          <w:tcPr>
            <w:tcW w:w="3540" w:type="dxa"/>
            <w:vAlign w:val="bottom"/>
            <w:gridSpan w:val="39"/>
          </w:tcPr>
          <w:p>
            <w:pPr>
              <w:spacing w:after="0"/>
              <w:rPr>
                <w:rFonts w:ascii="Arial" w:cs="Arial" w:eastAsia="Arial" w:hAnsi="Arial"/>
                <w:sz w:val="14"/>
                <w:szCs w:val="14"/>
                <w:color w:val="auto"/>
                <w:w w:val="99"/>
              </w:rPr>
            </w:pPr>
            <w:hyperlink r:id="rId120">
              <w:r>
                <w:rPr>
                  <w:rFonts w:ascii="Arial" w:cs="Arial" w:eastAsia="Arial" w:hAnsi="Arial"/>
                  <w:sz w:val="14"/>
                  <w:szCs w:val="14"/>
                  <w:color w:val="auto"/>
                  <w:w w:val="99"/>
                </w:rPr>
                <w:t>Zoom Video Communications, Inc. 2019 Employee Stock</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220" w:type="dxa"/>
            <w:vAlign w:val="bottom"/>
            <w:tcBorders>
              <w:top w:val="single" w:sz="8" w:color="auto"/>
            </w:tcBorders>
            <w:gridSpan w:val="25"/>
          </w:tcPr>
          <w:p>
            <w:pPr>
              <w:ind w:left="40"/>
              <w:spacing w:after="0" w:line="111" w:lineRule="exact"/>
              <w:rPr>
                <w:rFonts w:ascii="Arial" w:cs="Arial" w:eastAsia="Arial" w:hAnsi="Arial"/>
                <w:sz w:val="12"/>
                <w:szCs w:val="12"/>
                <w:color w:val="auto"/>
              </w:rPr>
            </w:pPr>
            <w:hyperlink r:id="rId120">
              <w:r>
                <w:rPr>
                  <w:rFonts w:ascii="Arial" w:cs="Arial" w:eastAsia="Arial" w:hAnsi="Arial"/>
                  <w:sz w:val="12"/>
                  <w:szCs w:val="12"/>
                  <w:color w:val="auto"/>
                </w:rPr>
                <w:t>Plan.</w:t>
              </w:r>
            </w:hyperlink>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10.6#</w:t>
            </w:r>
          </w:p>
        </w:tc>
        <w:tc>
          <w:tcPr>
            <w:tcW w:w="500" w:type="dxa"/>
            <w:vAlign w:val="bottom"/>
            <w:gridSpan w:val="3"/>
            <w:vMerge w:val="restart"/>
          </w:tcPr>
          <w:p>
            <w:pPr>
              <w:spacing w:after="0"/>
              <w:rPr>
                <w:rFonts w:ascii="Arial" w:cs="Arial" w:eastAsia="Arial" w:hAnsi="Arial"/>
                <w:sz w:val="14"/>
                <w:szCs w:val="14"/>
                <w:color w:val="0000FF"/>
                <w:w w:val="86"/>
              </w:rPr>
            </w:pPr>
            <w:hyperlink r:id="rId121">
              <w:r>
                <w:rPr>
                  <w:rFonts w:ascii="Arial" w:cs="Arial" w:eastAsia="Arial" w:hAnsi="Arial"/>
                  <w:sz w:val="14"/>
                  <w:szCs w:val="14"/>
                  <w:color w:val="0000FF"/>
                  <w:w w:val="86"/>
                </w:rPr>
                <w:t>between</w:t>
              </w:r>
            </w:hyperlink>
          </w:p>
        </w:tc>
        <w:tc>
          <w:tcPr>
            <w:tcW w:w="3540" w:type="dxa"/>
            <w:vAlign w:val="bottom"/>
            <w:gridSpan w:val="39"/>
          </w:tcPr>
          <w:p>
            <w:pPr>
              <w:spacing w:after="0"/>
              <w:rPr>
                <w:rFonts w:ascii="Arial" w:cs="Arial" w:eastAsia="Arial" w:hAnsi="Arial"/>
                <w:sz w:val="14"/>
                <w:szCs w:val="14"/>
                <w:color w:val="0000FF"/>
              </w:rPr>
            </w:pPr>
            <w:hyperlink r:id="rId121">
              <w:r>
                <w:rPr>
                  <w:rFonts w:ascii="Arial" w:cs="Arial" w:eastAsia="Arial" w:hAnsi="Arial"/>
                  <w:sz w:val="14"/>
                  <w:szCs w:val="14"/>
                  <w:color w:val="0000FF"/>
                </w:rPr>
                <w:t>Form of Indemnification Agreement entered into by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100" w:type="dxa"/>
            <w:vAlign w:val="bottom"/>
            <w:tcBorders>
              <w:top w:val="single" w:sz="8" w:color="0000FF"/>
            </w:tcBorders>
            <w:gridSpan w:val="21"/>
          </w:tcPr>
          <w:p>
            <w:pPr>
              <w:spacing w:after="0" w:line="111" w:lineRule="exact"/>
              <w:rPr>
                <w:rFonts w:ascii="Arial" w:cs="Arial" w:eastAsia="Arial" w:hAnsi="Arial"/>
                <w:sz w:val="12"/>
                <w:szCs w:val="12"/>
                <w:color w:val="0000FF"/>
              </w:rPr>
            </w:pPr>
            <w:hyperlink r:id="rId121">
              <w:r>
                <w:rPr>
                  <w:rFonts w:ascii="Arial" w:cs="Arial" w:eastAsia="Arial" w:hAnsi="Arial"/>
                  <w:sz w:val="12"/>
                  <w:szCs w:val="12"/>
                  <w:color w:val="0000FF"/>
                </w:rPr>
                <w:t>the Registrant and each director and executive officer.</w:t>
              </w:r>
            </w:hyperlink>
          </w:p>
        </w:tc>
        <w:tc>
          <w:tcPr>
            <w:tcW w:w="10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tcBorders>
              <w:bottom w:val="single" w:sz="8" w:color="0000FF"/>
            </w:tcBorders>
            <w:gridSpan w:val="30"/>
          </w:tcPr>
          <w:p>
            <w:pPr>
              <w:spacing w:after="0"/>
              <w:rPr>
                <w:rFonts w:ascii="Arial" w:cs="Arial" w:eastAsia="Arial" w:hAnsi="Arial"/>
                <w:sz w:val="14"/>
                <w:szCs w:val="14"/>
                <w:color w:val="0000FF"/>
                <w:w w:val="91"/>
              </w:rPr>
            </w:pPr>
            <w:hyperlink r:id="rId122">
              <w:r>
                <w:rPr>
                  <w:rFonts w:ascii="Arial" w:cs="Arial" w:eastAsia="Arial" w:hAnsi="Arial"/>
                  <w:sz w:val="14"/>
                  <w:szCs w:val="14"/>
                  <w:color w:val="0000FF"/>
                  <w:w w:val="91"/>
                </w:rPr>
                <w:t>Zoom Video Communications, Inc. Non-Employee Director</w:t>
              </w:r>
            </w:hyperlink>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840" w:type="dxa"/>
            <w:vAlign w:val="bottom"/>
            <w:gridSpan w:val="33"/>
          </w:tcPr>
          <w:p>
            <w:pPr>
              <w:spacing w:after="0" w:line="111" w:lineRule="exact"/>
              <w:rPr>
                <w:rFonts w:ascii="Arial" w:cs="Arial" w:eastAsia="Arial" w:hAnsi="Arial"/>
                <w:sz w:val="12"/>
                <w:szCs w:val="12"/>
                <w:color w:val="0000FF"/>
              </w:rPr>
            </w:pPr>
            <w:hyperlink r:id="rId122">
              <w:r>
                <w:rPr>
                  <w:rFonts w:ascii="Arial" w:cs="Arial" w:eastAsia="Arial" w:hAnsi="Arial"/>
                  <w:sz w:val="12"/>
                  <w:szCs w:val="12"/>
                  <w:color w:val="0000FF"/>
                </w:rPr>
                <w:t>Compensation Policy, as amended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bottom w:val="single" w:sz="8" w:color="0000FF"/>
            </w:tcBorders>
            <w:gridSpan w:val="26"/>
          </w:tcPr>
          <w:p>
            <w:pPr>
              <w:spacing w:after="0"/>
              <w:rPr>
                <w:rFonts w:ascii="Arial" w:cs="Arial" w:eastAsia="Arial" w:hAnsi="Arial"/>
                <w:sz w:val="14"/>
                <w:szCs w:val="14"/>
                <w:color w:val="0000FF"/>
                <w:w w:val="91"/>
              </w:rPr>
            </w:pPr>
            <w:hyperlink r:id="rId123">
              <w:r>
                <w:rPr>
                  <w:rFonts w:ascii="Arial" w:cs="Arial" w:eastAsia="Arial" w:hAnsi="Arial"/>
                  <w:sz w:val="14"/>
                  <w:szCs w:val="14"/>
                  <w:color w:val="0000FF"/>
                  <w:w w:val="91"/>
                </w:rPr>
                <w:t>Zoom Video Communications, Inc. 2019 Equity Incentive</w:t>
              </w:r>
            </w:hyperlink>
          </w:p>
        </w:tc>
        <w:tc>
          <w:tcPr>
            <w:tcW w:w="3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740" w:type="dxa"/>
            <w:vAlign w:val="bottom"/>
            <w:gridSpan w:val="29"/>
          </w:tcPr>
          <w:p>
            <w:pPr>
              <w:spacing w:after="0" w:line="111" w:lineRule="exact"/>
              <w:rPr>
                <w:rFonts w:ascii="Arial" w:cs="Arial" w:eastAsia="Arial" w:hAnsi="Arial"/>
                <w:sz w:val="12"/>
                <w:szCs w:val="12"/>
                <w:color w:val="0000FF"/>
              </w:rPr>
            </w:pPr>
            <w:hyperlink r:id="rId123">
              <w:r>
                <w:rPr>
                  <w:rFonts w:ascii="Arial" w:cs="Arial" w:eastAsia="Arial" w:hAnsi="Arial"/>
                  <w:sz w:val="12"/>
                  <w:szCs w:val="12"/>
                  <w:color w:val="0000FF"/>
                </w:rPr>
                <w:t>Plan Global RSU Award Gant Notice</w:t>
              </w:r>
            </w:hyperlink>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10.9#</w:t>
            </w:r>
          </w:p>
        </w:tc>
        <w:tc>
          <w:tcPr>
            <w:tcW w:w="500" w:type="dxa"/>
            <w:vAlign w:val="bottom"/>
            <w:gridSpan w:val="3"/>
            <w:vMerge w:val="restart"/>
          </w:tcPr>
          <w:p>
            <w:pPr>
              <w:spacing w:after="0"/>
              <w:rPr>
                <w:rFonts w:ascii="Arial" w:cs="Arial" w:eastAsia="Arial" w:hAnsi="Arial"/>
                <w:sz w:val="14"/>
                <w:szCs w:val="14"/>
                <w:color w:val="0000FF"/>
                <w:w w:val="79"/>
              </w:rPr>
            </w:pPr>
            <w:hyperlink r:id="rId124">
              <w:r>
                <w:rPr>
                  <w:rFonts w:ascii="Arial" w:cs="Arial" w:eastAsia="Arial" w:hAnsi="Arial"/>
                  <w:sz w:val="14"/>
                  <w:szCs w:val="14"/>
                  <w:color w:val="0000FF"/>
                  <w:w w:val="79"/>
                </w:rPr>
                <w:t>Plan Non</w:t>
              </w:r>
            </w:hyperlink>
          </w:p>
        </w:tc>
        <w:tc>
          <w:tcPr>
            <w:tcW w:w="3540" w:type="dxa"/>
            <w:vAlign w:val="bottom"/>
            <w:gridSpan w:val="39"/>
          </w:tcPr>
          <w:p>
            <w:pPr>
              <w:spacing w:after="0"/>
              <w:rPr>
                <w:rFonts w:ascii="Arial" w:cs="Arial" w:eastAsia="Arial" w:hAnsi="Arial"/>
                <w:sz w:val="14"/>
                <w:szCs w:val="14"/>
                <w:color w:val="0000FF"/>
              </w:rPr>
            </w:pPr>
            <w:hyperlink r:id="rId124">
              <w:r>
                <w:rPr>
                  <w:rFonts w:ascii="Arial" w:cs="Arial" w:eastAsia="Arial" w:hAnsi="Arial"/>
                  <w:sz w:val="14"/>
                  <w:szCs w:val="14"/>
                  <w:color w:val="0000FF"/>
                </w:rPr>
                <w:t>Zoom Video Communications, Inc. 2019 Equity Incentive</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240" w:type="dxa"/>
            <w:vAlign w:val="bottom"/>
            <w:tcBorders>
              <w:top w:val="single" w:sz="8" w:color="0000FF"/>
            </w:tcBorders>
            <w:gridSpan w:val="26"/>
          </w:tcPr>
          <w:p>
            <w:pPr>
              <w:ind w:left="20"/>
              <w:spacing w:after="0" w:line="111" w:lineRule="exact"/>
              <w:rPr>
                <w:rFonts w:ascii="Arial" w:cs="Arial" w:eastAsia="Arial" w:hAnsi="Arial"/>
                <w:sz w:val="12"/>
                <w:szCs w:val="12"/>
                <w:color w:val="0000FF"/>
              </w:rPr>
            </w:pPr>
            <w:hyperlink r:id="rId124">
              <w:r>
                <w:rPr>
                  <w:rFonts w:ascii="Arial" w:cs="Arial" w:eastAsia="Arial" w:hAnsi="Arial"/>
                  <w:sz w:val="12"/>
                  <w:szCs w:val="12"/>
                  <w:color w:val="0000FF"/>
                </w:rPr>
                <w:t>-Employee Director Global RSU Award Grant Notice</w:t>
              </w:r>
            </w:hyperlink>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10.10#</w:t>
            </w:r>
          </w:p>
        </w:tc>
        <w:tc>
          <w:tcPr>
            <w:tcW w:w="500" w:type="dxa"/>
            <w:vAlign w:val="bottom"/>
            <w:gridSpan w:val="3"/>
            <w:vMerge w:val="restart"/>
          </w:tcPr>
          <w:p>
            <w:pPr>
              <w:spacing w:after="0"/>
              <w:rPr>
                <w:rFonts w:ascii="Arial" w:cs="Arial" w:eastAsia="Arial" w:hAnsi="Arial"/>
                <w:sz w:val="14"/>
                <w:szCs w:val="14"/>
                <w:color w:val="0000FF"/>
              </w:rPr>
            </w:pPr>
            <w:hyperlink r:id="rId125">
              <w:r>
                <w:rPr>
                  <w:rFonts w:ascii="Arial" w:cs="Arial" w:eastAsia="Arial" w:hAnsi="Arial"/>
                  <w:sz w:val="14"/>
                  <w:szCs w:val="14"/>
                  <w:color w:val="0000FF"/>
                </w:rPr>
                <w:t>Eric S.</w:t>
              </w:r>
            </w:hyperlink>
          </w:p>
        </w:tc>
        <w:tc>
          <w:tcPr>
            <w:tcW w:w="3540" w:type="dxa"/>
            <w:vAlign w:val="bottom"/>
            <w:gridSpan w:val="39"/>
          </w:tcPr>
          <w:p>
            <w:pPr>
              <w:spacing w:after="0"/>
              <w:rPr>
                <w:rFonts w:ascii="Arial" w:cs="Arial" w:eastAsia="Arial" w:hAnsi="Arial"/>
                <w:sz w:val="14"/>
                <w:szCs w:val="14"/>
                <w:color w:val="0000FF"/>
                <w:w w:val="93"/>
              </w:rPr>
            </w:pPr>
            <w:hyperlink r:id="rId125">
              <w:r>
                <w:rPr>
                  <w:rFonts w:ascii="Arial" w:cs="Arial" w:eastAsia="Arial" w:hAnsi="Arial"/>
                  <w:sz w:val="14"/>
                  <w:szCs w:val="14"/>
                  <w:color w:val="0000FF"/>
                  <w:w w:val="93"/>
                </w:rPr>
                <w:t>Confirmatory Offer Letter by and between the Registrant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20" w:type="dxa"/>
            <w:vAlign w:val="bottom"/>
            <w:tcBorders>
              <w:top w:val="single" w:sz="8" w:color="0000FF"/>
            </w:tcBorders>
            <w:gridSpan w:val="34"/>
          </w:tcPr>
          <w:p>
            <w:pPr>
              <w:spacing w:after="0" w:line="111" w:lineRule="exact"/>
              <w:rPr>
                <w:rFonts w:ascii="Arial" w:cs="Arial" w:eastAsia="Arial" w:hAnsi="Arial"/>
                <w:sz w:val="12"/>
                <w:szCs w:val="12"/>
                <w:color w:val="0000FF"/>
              </w:rPr>
            </w:pPr>
            <w:hyperlink r:id="rId125">
              <w:r>
                <w:rPr>
                  <w:rFonts w:ascii="Arial" w:cs="Arial" w:eastAsia="Arial" w:hAnsi="Arial"/>
                  <w:sz w:val="12"/>
                  <w:szCs w:val="12"/>
                  <w:color w:val="0000FF"/>
                </w:rPr>
                <w:t>Yuan, dated December 18,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10.11#</w:t>
            </w:r>
          </w:p>
        </w:tc>
        <w:tc>
          <w:tcPr>
            <w:tcW w:w="500" w:type="dxa"/>
            <w:vAlign w:val="bottom"/>
            <w:gridSpan w:val="3"/>
            <w:vMerge w:val="restart"/>
          </w:tcPr>
          <w:p>
            <w:pPr>
              <w:spacing w:after="0"/>
              <w:rPr>
                <w:rFonts w:ascii="Arial" w:cs="Arial" w:eastAsia="Arial" w:hAnsi="Arial"/>
                <w:sz w:val="14"/>
                <w:szCs w:val="14"/>
                <w:color w:val="0000FF"/>
              </w:rPr>
            </w:pPr>
            <w:hyperlink r:id="rId126">
              <w:r>
                <w:rPr>
                  <w:rFonts w:ascii="Arial" w:cs="Arial" w:eastAsia="Arial" w:hAnsi="Arial"/>
                  <w:sz w:val="14"/>
                  <w:szCs w:val="14"/>
                  <w:color w:val="0000FF"/>
                </w:rPr>
                <w:t>Aparna</w:t>
              </w:r>
            </w:hyperlink>
          </w:p>
        </w:tc>
        <w:tc>
          <w:tcPr>
            <w:tcW w:w="3540" w:type="dxa"/>
            <w:vAlign w:val="bottom"/>
            <w:gridSpan w:val="39"/>
          </w:tcPr>
          <w:p>
            <w:pPr>
              <w:spacing w:after="0"/>
              <w:rPr>
                <w:rFonts w:ascii="Arial" w:cs="Arial" w:eastAsia="Arial" w:hAnsi="Arial"/>
                <w:sz w:val="14"/>
                <w:szCs w:val="14"/>
                <w:color w:val="0000FF"/>
                <w:w w:val="93"/>
              </w:rPr>
            </w:pPr>
            <w:hyperlink r:id="rId126">
              <w:r>
                <w:rPr>
                  <w:rFonts w:ascii="Arial" w:cs="Arial" w:eastAsia="Arial" w:hAnsi="Arial"/>
                  <w:sz w:val="14"/>
                  <w:szCs w:val="14"/>
                  <w:color w:val="0000FF"/>
                  <w:w w:val="93"/>
                </w:rPr>
                <w:t>Confirmatory Offer Letter by and between the Registrant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20" w:type="dxa"/>
            <w:vAlign w:val="bottom"/>
            <w:tcBorders>
              <w:top w:val="single" w:sz="8" w:color="0000FF"/>
            </w:tcBorders>
            <w:gridSpan w:val="34"/>
          </w:tcPr>
          <w:p>
            <w:pPr>
              <w:spacing w:after="0" w:line="111" w:lineRule="exact"/>
              <w:rPr>
                <w:rFonts w:ascii="Arial" w:cs="Arial" w:eastAsia="Arial" w:hAnsi="Arial"/>
                <w:sz w:val="12"/>
                <w:szCs w:val="12"/>
                <w:color w:val="0000FF"/>
              </w:rPr>
            </w:pPr>
            <w:hyperlink r:id="rId126">
              <w:r>
                <w:rPr>
                  <w:rFonts w:ascii="Arial" w:cs="Arial" w:eastAsia="Arial" w:hAnsi="Arial"/>
                  <w:sz w:val="12"/>
                  <w:szCs w:val="12"/>
                  <w:color w:val="0000FF"/>
                </w:rPr>
                <w:t>Bawa, dated December 18,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10.12#</w:t>
            </w:r>
          </w:p>
        </w:tc>
        <w:tc>
          <w:tcPr>
            <w:tcW w:w="500" w:type="dxa"/>
            <w:vAlign w:val="bottom"/>
            <w:gridSpan w:val="3"/>
            <w:vMerge w:val="restart"/>
          </w:tcPr>
          <w:p>
            <w:pPr>
              <w:spacing w:after="0"/>
              <w:rPr>
                <w:rFonts w:ascii="Arial" w:cs="Arial" w:eastAsia="Arial" w:hAnsi="Arial"/>
                <w:sz w:val="14"/>
                <w:szCs w:val="14"/>
                <w:color w:val="0000FF"/>
              </w:rPr>
            </w:pPr>
            <w:hyperlink r:id="rId127">
              <w:r>
                <w:rPr>
                  <w:rFonts w:ascii="Arial" w:cs="Arial" w:eastAsia="Arial" w:hAnsi="Arial"/>
                  <w:sz w:val="14"/>
                  <w:szCs w:val="14"/>
                  <w:color w:val="0000FF"/>
                </w:rPr>
                <w:t>Janine</w:t>
              </w:r>
            </w:hyperlink>
          </w:p>
        </w:tc>
        <w:tc>
          <w:tcPr>
            <w:tcW w:w="3540" w:type="dxa"/>
            <w:vAlign w:val="bottom"/>
            <w:gridSpan w:val="39"/>
          </w:tcPr>
          <w:p>
            <w:pPr>
              <w:spacing w:after="0"/>
              <w:rPr>
                <w:rFonts w:ascii="Arial" w:cs="Arial" w:eastAsia="Arial" w:hAnsi="Arial"/>
                <w:sz w:val="14"/>
                <w:szCs w:val="14"/>
                <w:color w:val="0000FF"/>
                <w:w w:val="93"/>
              </w:rPr>
            </w:pPr>
            <w:hyperlink r:id="rId127">
              <w:r>
                <w:rPr>
                  <w:rFonts w:ascii="Arial" w:cs="Arial" w:eastAsia="Arial" w:hAnsi="Arial"/>
                  <w:sz w:val="14"/>
                  <w:szCs w:val="14"/>
                  <w:color w:val="0000FF"/>
                  <w:w w:val="93"/>
                </w:rPr>
                <w:t>Confirmatory Offer Letter by and between the Registrant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20" w:type="dxa"/>
            <w:vAlign w:val="bottom"/>
            <w:tcBorders>
              <w:top w:val="single" w:sz="8" w:color="0000FF"/>
            </w:tcBorders>
            <w:gridSpan w:val="34"/>
          </w:tcPr>
          <w:p>
            <w:pPr>
              <w:spacing w:after="0" w:line="111" w:lineRule="exact"/>
              <w:rPr>
                <w:rFonts w:ascii="Arial" w:cs="Arial" w:eastAsia="Arial" w:hAnsi="Arial"/>
                <w:sz w:val="12"/>
                <w:szCs w:val="12"/>
                <w:color w:val="0000FF"/>
              </w:rPr>
            </w:pPr>
            <w:hyperlink r:id="rId127">
              <w:r>
                <w:rPr>
                  <w:rFonts w:ascii="Arial" w:cs="Arial" w:eastAsia="Arial" w:hAnsi="Arial"/>
                  <w:sz w:val="12"/>
                  <w:szCs w:val="12"/>
                  <w:color w:val="0000FF"/>
                </w:rPr>
                <w:t>Pelosi, dated December 18,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10.13#</w:t>
            </w:r>
          </w:p>
        </w:tc>
        <w:tc>
          <w:tcPr>
            <w:tcW w:w="500" w:type="dxa"/>
            <w:vAlign w:val="bottom"/>
            <w:gridSpan w:val="3"/>
            <w:vMerge w:val="restart"/>
          </w:tcPr>
          <w:p>
            <w:pPr>
              <w:spacing w:after="0"/>
              <w:rPr>
                <w:rFonts w:ascii="Arial" w:cs="Arial" w:eastAsia="Arial" w:hAnsi="Arial"/>
                <w:sz w:val="14"/>
                <w:szCs w:val="14"/>
                <w:color w:val="0000FF"/>
              </w:rPr>
            </w:pPr>
            <w:hyperlink r:id="rId128">
              <w:r>
                <w:rPr>
                  <w:rFonts w:ascii="Arial" w:cs="Arial" w:eastAsia="Arial" w:hAnsi="Arial"/>
                  <w:sz w:val="14"/>
                  <w:szCs w:val="14"/>
                  <w:color w:val="0000FF"/>
                </w:rPr>
                <w:t>Kelly</w:t>
              </w:r>
            </w:hyperlink>
          </w:p>
        </w:tc>
        <w:tc>
          <w:tcPr>
            <w:tcW w:w="3540" w:type="dxa"/>
            <w:vAlign w:val="bottom"/>
            <w:gridSpan w:val="39"/>
          </w:tcPr>
          <w:p>
            <w:pPr>
              <w:spacing w:after="0"/>
              <w:rPr>
                <w:rFonts w:ascii="Arial" w:cs="Arial" w:eastAsia="Arial" w:hAnsi="Arial"/>
                <w:sz w:val="14"/>
                <w:szCs w:val="14"/>
                <w:color w:val="0000FF"/>
                <w:w w:val="93"/>
              </w:rPr>
            </w:pPr>
            <w:hyperlink r:id="rId128">
              <w:r>
                <w:rPr>
                  <w:rFonts w:ascii="Arial" w:cs="Arial" w:eastAsia="Arial" w:hAnsi="Arial"/>
                  <w:sz w:val="14"/>
                  <w:szCs w:val="14"/>
                  <w:color w:val="0000FF"/>
                  <w:w w:val="93"/>
                </w:rPr>
                <w:t>Confirmatory Offer Letter by and between the Registrant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20" w:type="dxa"/>
            <w:vAlign w:val="bottom"/>
            <w:tcBorders>
              <w:top w:val="single" w:sz="8" w:color="0000FF"/>
            </w:tcBorders>
            <w:gridSpan w:val="34"/>
          </w:tcPr>
          <w:p>
            <w:pPr>
              <w:spacing w:after="0" w:line="111" w:lineRule="exact"/>
              <w:rPr>
                <w:rFonts w:ascii="Arial" w:cs="Arial" w:eastAsia="Arial" w:hAnsi="Arial"/>
                <w:sz w:val="12"/>
                <w:szCs w:val="12"/>
                <w:color w:val="0000FF"/>
              </w:rPr>
            </w:pPr>
            <w:hyperlink r:id="rId128">
              <w:r>
                <w:rPr>
                  <w:rFonts w:ascii="Arial" w:cs="Arial" w:eastAsia="Arial" w:hAnsi="Arial"/>
                  <w:sz w:val="12"/>
                  <w:szCs w:val="12"/>
                  <w:color w:val="0000FF"/>
                </w:rPr>
                <w:t>Steckelberg, dated December 18,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Borders>
              <w:bottom w:val="single" w:sz="8" w:color="0000FF"/>
            </w:tcBorders>
            <w:gridSpan w:val="28"/>
          </w:tcPr>
          <w:p>
            <w:pPr>
              <w:spacing w:after="0"/>
              <w:rPr>
                <w:rFonts w:ascii="Arial" w:cs="Arial" w:eastAsia="Arial" w:hAnsi="Arial"/>
                <w:sz w:val="14"/>
                <w:szCs w:val="14"/>
                <w:color w:val="0000FF"/>
                <w:w w:val="89"/>
              </w:rPr>
            </w:pPr>
            <w:hyperlink r:id="rId129">
              <w:r>
                <w:rPr>
                  <w:rFonts w:ascii="Arial" w:cs="Arial" w:eastAsia="Arial" w:hAnsi="Arial"/>
                  <w:sz w:val="14"/>
                  <w:szCs w:val="14"/>
                  <w:color w:val="0000FF"/>
                  <w:w w:val="89"/>
                </w:rPr>
                <w:t>Offer Letter by and between the Registrant and Ryan Azus</w:t>
              </w:r>
            </w:hyperlink>
          </w:p>
        </w:tc>
        <w:tc>
          <w:tcPr>
            <w:tcW w:w="2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780" w:type="dxa"/>
            <w:vAlign w:val="bottom"/>
            <w:gridSpan w:val="31"/>
          </w:tcPr>
          <w:p>
            <w:pPr>
              <w:spacing w:after="0" w:line="111" w:lineRule="exact"/>
              <w:rPr>
                <w:rFonts w:ascii="Arial" w:cs="Arial" w:eastAsia="Arial" w:hAnsi="Arial"/>
                <w:sz w:val="12"/>
                <w:szCs w:val="12"/>
                <w:color w:val="0000FF"/>
              </w:rPr>
            </w:pPr>
            <w:hyperlink r:id="rId129">
              <w:r>
                <w:rPr>
                  <w:rFonts w:ascii="Arial" w:cs="Arial" w:eastAsia="Arial" w:hAnsi="Arial"/>
                  <w:sz w:val="12"/>
                  <w:szCs w:val="12"/>
                  <w:color w:val="0000FF"/>
                </w:rPr>
                <w:t>dated June 29, 2019.</w:t>
              </w:r>
            </w:hyperlink>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tcBorders>
              <w:bottom w:val="single" w:sz="8" w:color="0000FF"/>
            </w:tcBorders>
            <w:gridSpan w:val="24"/>
          </w:tcPr>
          <w:p>
            <w:pPr>
              <w:spacing w:after="0"/>
              <w:rPr>
                <w:rFonts w:ascii="Arial" w:cs="Arial" w:eastAsia="Arial" w:hAnsi="Arial"/>
                <w:sz w:val="14"/>
                <w:szCs w:val="14"/>
                <w:color w:val="0000FF"/>
                <w:w w:val="89"/>
              </w:rPr>
            </w:pPr>
            <w:hyperlink r:id="rId130">
              <w:r>
                <w:rPr>
                  <w:rFonts w:ascii="Arial" w:cs="Arial" w:eastAsia="Arial" w:hAnsi="Arial"/>
                  <w:sz w:val="14"/>
                  <w:szCs w:val="14"/>
                  <w:color w:val="0000FF"/>
                  <w:w w:val="89"/>
                </w:rPr>
                <w:t>Offer Letter by and between the Registrant and Velchamy</w:t>
              </w:r>
            </w:hyperlink>
          </w:p>
        </w:tc>
        <w:tc>
          <w:tcPr>
            <w:tcW w:w="3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700" w:type="dxa"/>
            <w:vAlign w:val="bottom"/>
            <w:gridSpan w:val="27"/>
          </w:tcPr>
          <w:p>
            <w:pPr>
              <w:spacing w:after="0" w:line="111" w:lineRule="exact"/>
              <w:rPr>
                <w:rFonts w:ascii="Arial" w:cs="Arial" w:eastAsia="Arial" w:hAnsi="Arial"/>
                <w:sz w:val="12"/>
                <w:szCs w:val="12"/>
                <w:color w:val="0000FF"/>
              </w:rPr>
            </w:pPr>
            <w:hyperlink r:id="rId130">
              <w:r>
                <w:rPr>
                  <w:rFonts w:ascii="Arial" w:cs="Arial" w:eastAsia="Arial" w:hAnsi="Arial"/>
                  <w:sz w:val="12"/>
                  <w:szCs w:val="12"/>
                  <w:color w:val="0000FF"/>
                </w:rPr>
                <w:t>Sankarlingam dated May 19, 2020</w:t>
              </w:r>
            </w:hyperlink>
          </w:p>
        </w:tc>
        <w:tc>
          <w:tcPr>
            <w:tcW w:w="12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line="150" w:lineRule="exact"/>
              <w:rPr>
                <w:sz w:val="20"/>
                <w:szCs w:val="20"/>
                <w:color w:val="auto"/>
              </w:rPr>
            </w:pPr>
            <w:r>
              <w:rPr>
                <w:rFonts w:ascii="Arial" w:cs="Arial" w:eastAsia="Arial" w:hAnsi="Arial"/>
                <w:sz w:val="14"/>
                <w:szCs w:val="14"/>
                <w:color w:val="auto"/>
              </w:rPr>
              <w:t>10.16#</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Borders>
              <w:bottom w:val="single" w:sz="8" w:color="0000FF"/>
            </w:tcBorders>
            <w:gridSpan w:val="17"/>
          </w:tcPr>
          <w:p>
            <w:pPr>
              <w:spacing w:after="0" w:line="150" w:lineRule="exact"/>
              <w:rPr>
                <w:rFonts w:ascii="Arial" w:cs="Arial" w:eastAsia="Arial" w:hAnsi="Arial"/>
                <w:sz w:val="14"/>
                <w:szCs w:val="14"/>
                <w:color w:val="0000FF"/>
                <w:w w:val="90"/>
              </w:rPr>
            </w:pPr>
            <w:hyperlink r:id="rId131">
              <w:r>
                <w:rPr>
                  <w:rFonts w:ascii="Arial" w:cs="Arial" w:eastAsia="Arial" w:hAnsi="Arial"/>
                  <w:sz w:val="14"/>
                  <w:szCs w:val="14"/>
                  <w:color w:val="0000FF"/>
                  <w:w w:val="90"/>
                </w:rPr>
                <w:t>Director Offer Letter by and between Zoom Video</w:t>
              </w:r>
            </w:hyperlink>
          </w:p>
        </w:tc>
        <w:tc>
          <w:tcPr>
            <w:tcW w:w="7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280" w:type="dxa"/>
            <w:vAlign w:val="bottom"/>
            <w:gridSpan w:val="20"/>
          </w:tcPr>
          <w:p>
            <w:pPr>
              <w:spacing w:after="0" w:line="118" w:lineRule="exact"/>
              <w:rPr>
                <w:rFonts w:ascii="Arial" w:cs="Arial" w:eastAsia="Arial" w:hAnsi="Arial"/>
                <w:sz w:val="13"/>
                <w:szCs w:val="13"/>
                <w:color w:val="0000FF"/>
              </w:rPr>
            </w:pPr>
            <w:hyperlink r:id="rId131">
              <w:r>
                <w:rPr>
                  <w:rFonts w:ascii="Arial" w:cs="Arial" w:eastAsia="Arial" w:hAnsi="Arial"/>
                  <w:sz w:val="13"/>
                  <w:szCs w:val="13"/>
                  <w:color w:val="0000FF"/>
                </w:rPr>
                <w:t>Communications, Inc. and Lieut. General H.R. McMaster</w:t>
              </w:r>
            </w:hyperlink>
          </w:p>
        </w:tc>
        <w:tc>
          <w:tcPr>
            <w:tcW w:w="760" w:type="dxa"/>
            <w:vAlign w:val="bottom"/>
            <w:gridSpan w:val="22"/>
          </w:tcPr>
          <w:p>
            <w:pPr>
              <w:spacing w:after="0" w:line="118" w:lineRule="exact"/>
              <w:rPr>
                <w:rFonts w:ascii="Arial" w:cs="Arial" w:eastAsia="Arial" w:hAnsi="Arial"/>
                <w:sz w:val="13"/>
                <w:szCs w:val="13"/>
                <w:color w:val="0000FF"/>
              </w:rPr>
            </w:pPr>
            <w:hyperlink r:id="rId131">
              <w:r>
                <w:rPr>
                  <w:rFonts w:ascii="Arial" w:cs="Arial" w:eastAsia="Arial" w:hAnsi="Arial"/>
                  <w:sz w:val="13"/>
                  <w:szCs w:val="13"/>
                  <w:color w:val="0000FF"/>
                </w:rPr>
                <w:t>dated May</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420" w:type="dxa"/>
            <w:vAlign w:val="bottom"/>
            <w:tcBorders>
              <w:top w:val="single" w:sz="8" w:color="0000FF"/>
            </w:tcBorders>
            <w:gridSpan w:val="2"/>
          </w:tcPr>
          <w:p>
            <w:pPr>
              <w:spacing w:after="0" w:line="111" w:lineRule="exact"/>
              <w:rPr>
                <w:rFonts w:ascii="Arial" w:cs="Arial" w:eastAsia="Arial" w:hAnsi="Arial"/>
                <w:sz w:val="12"/>
                <w:szCs w:val="12"/>
                <w:color w:val="0000FF"/>
                <w:w w:val="99"/>
              </w:rPr>
            </w:pPr>
            <w:hyperlink r:id="rId131">
              <w:r>
                <w:rPr>
                  <w:rFonts w:ascii="Arial" w:cs="Arial" w:eastAsia="Arial" w:hAnsi="Arial"/>
                  <w:sz w:val="12"/>
                  <w:szCs w:val="12"/>
                  <w:color w:val="0000FF"/>
                  <w:w w:val="99"/>
                </w:rPr>
                <w:t>6, 2020</w:t>
              </w:r>
            </w:hyperlink>
          </w:p>
        </w:tc>
        <w:tc>
          <w:tcPr>
            <w:tcW w:w="8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line="150" w:lineRule="exact"/>
              <w:rPr>
                <w:sz w:val="20"/>
                <w:szCs w:val="20"/>
                <w:color w:val="auto"/>
              </w:rPr>
            </w:pPr>
            <w:r>
              <w:rPr>
                <w:rFonts w:ascii="Arial" w:cs="Arial" w:eastAsia="Arial" w:hAnsi="Arial"/>
                <w:sz w:val="14"/>
                <w:szCs w:val="14"/>
                <w:color w:val="auto"/>
              </w:rPr>
              <w:t>10.17#</w:t>
            </w:r>
          </w:p>
        </w:tc>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Borders>
              <w:bottom w:val="single" w:sz="8" w:color="0000FF"/>
            </w:tcBorders>
            <w:gridSpan w:val="17"/>
          </w:tcPr>
          <w:p>
            <w:pPr>
              <w:spacing w:after="0" w:line="150" w:lineRule="exact"/>
              <w:rPr>
                <w:rFonts w:ascii="Arial" w:cs="Arial" w:eastAsia="Arial" w:hAnsi="Arial"/>
                <w:sz w:val="14"/>
                <w:szCs w:val="14"/>
                <w:color w:val="0000FF"/>
                <w:w w:val="90"/>
              </w:rPr>
            </w:pPr>
            <w:hyperlink r:id="rId132">
              <w:r>
                <w:rPr>
                  <w:rFonts w:ascii="Arial" w:cs="Arial" w:eastAsia="Arial" w:hAnsi="Arial"/>
                  <w:sz w:val="14"/>
                  <w:szCs w:val="14"/>
                  <w:color w:val="0000FF"/>
                  <w:w w:val="90"/>
                </w:rPr>
                <w:t>Director Offer Letter by and between Zoom Video</w:t>
              </w:r>
            </w:hyperlink>
          </w:p>
        </w:tc>
        <w:tc>
          <w:tcPr>
            <w:tcW w:w="7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280" w:type="dxa"/>
            <w:vAlign w:val="bottom"/>
            <w:gridSpan w:val="20"/>
          </w:tcPr>
          <w:p>
            <w:pPr>
              <w:spacing w:after="0" w:line="118" w:lineRule="exact"/>
              <w:rPr>
                <w:rFonts w:ascii="Arial" w:cs="Arial" w:eastAsia="Arial" w:hAnsi="Arial"/>
                <w:sz w:val="13"/>
                <w:szCs w:val="13"/>
                <w:color w:val="0000FF"/>
                <w:w w:val="92"/>
              </w:rPr>
            </w:pPr>
            <w:hyperlink r:id="rId132">
              <w:r>
                <w:rPr>
                  <w:rFonts w:ascii="Arial" w:cs="Arial" w:eastAsia="Arial" w:hAnsi="Arial"/>
                  <w:sz w:val="13"/>
                  <w:szCs w:val="13"/>
                  <w:color w:val="0000FF"/>
                  <w:w w:val="92"/>
                </w:rPr>
                <w:t>Communications, Inc. and Janet Napolitano dated November</w:t>
              </w:r>
            </w:hyperlink>
          </w:p>
        </w:tc>
        <w:tc>
          <w:tcPr>
            <w:tcW w:w="660" w:type="dxa"/>
            <w:vAlign w:val="bottom"/>
            <w:gridSpan w:val="18"/>
          </w:tcPr>
          <w:p>
            <w:pPr>
              <w:jc w:val="right"/>
              <w:ind w:right="80"/>
              <w:spacing w:after="0" w:line="118" w:lineRule="exact"/>
              <w:rPr>
                <w:rFonts w:ascii="Arial" w:cs="Arial" w:eastAsia="Arial" w:hAnsi="Arial"/>
                <w:sz w:val="13"/>
                <w:szCs w:val="13"/>
                <w:color w:val="0000FF"/>
              </w:rPr>
            </w:pPr>
            <w:hyperlink r:id="rId132">
              <w:r>
                <w:rPr>
                  <w:rFonts w:ascii="Arial" w:cs="Arial" w:eastAsia="Arial" w:hAnsi="Arial"/>
                  <w:sz w:val="13"/>
                  <w:szCs w:val="13"/>
                  <w:color w:val="0000FF"/>
                </w:rPr>
                <w:t>2, 2020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10.18</w:t>
            </w:r>
          </w:p>
        </w:tc>
        <w:tc>
          <w:tcPr>
            <w:tcW w:w="500" w:type="dxa"/>
            <w:vAlign w:val="bottom"/>
            <w:gridSpan w:val="3"/>
            <w:vMerge w:val="restart"/>
          </w:tcPr>
          <w:p>
            <w:pPr>
              <w:spacing w:after="0"/>
              <w:rPr>
                <w:rFonts w:ascii="Arial" w:cs="Arial" w:eastAsia="Arial" w:hAnsi="Arial"/>
                <w:sz w:val="14"/>
                <w:szCs w:val="14"/>
                <w:color w:val="0000FF"/>
                <w:w w:val="86"/>
              </w:rPr>
            </w:pPr>
            <w:hyperlink r:id="rId133">
              <w:r>
                <w:rPr>
                  <w:rFonts w:ascii="Arial" w:cs="Arial" w:eastAsia="Arial" w:hAnsi="Arial"/>
                  <w:sz w:val="14"/>
                  <w:szCs w:val="14"/>
                  <w:color w:val="0000FF"/>
                  <w:w w:val="86"/>
                </w:rPr>
                <w:t>between</w:t>
              </w:r>
            </w:hyperlink>
          </w:p>
        </w:tc>
        <w:tc>
          <w:tcPr>
            <w:tcW w:w="3540" w:type="dxa"/>
            <w:vAlign w:val="bottom"/>
            <w:gridSpan w:val="39"/>
          </w:tcPr>
          <w:p>
            <w:pPr>
              <w:spacing w:after="0"/>
              <w:rPr>
                <w:rFonts w:ascii="Arial" w:cs="Arial" w:eastAsia="Arial" w:hAnsi="Arial"/>
                <w:sz w:val="14"/>
                <w:szCs w:val="14"/>
                <w:color w:val="0000FF"/>
                <w:w w:val="92"/>
              </w:rPr>
            </w:pPr>
            <w:hyperlink r:id="rId133">
              <w:r>
                <w:rPr>
                  <w:rFonts w:ascii="Arial" w:cs="Arial" w:eastAsia="Arial" w:hAnsi="Arial"/>
                  <w:sz w:val="14"/>
                  <w:szCs w:val="14"/>
                  <w:color w:val="0000FF"/>
                  <w:w w:val="92"/>
                </w:rPr>
                <w:t>Lease Agreement dated August 1, 2016, as amended, by and</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380" w:type="dxa"/>
            <w:vAlign w:val="bottom"/>
            <w:tcBorders>
              <w:top w:val="single" w:sz="8" w:color="0000FF"/>
            </w:tcBorders>
            <w:gridSpan w:val="32"/>
          </w:tcPr>
          <w:p>
            <w:pPr>
              <w:spacing w:after="0" w:line="111" w:lineRule="exact"/>
              <w:rPr>
                <w:rFonts w:ascii="Arial" w:cs="Arial" w:eastAsia="Arial" w:hAnsi="Arial"/>
                <w:sz w:val="12"/>
                <w:szCs w:val="12"/>
                <w:color w:val="0000FF"/>
              </w:rPr>
            </w:pPr>
            <w:hyperlink r:id="rId133">
              <w:r>
                <w:rPr>
                  <w:rFonts w:ascii="Arial" w:cs="Arial" w:eastAsia="Arial" w:hAnsi="Arial"/>
                  <w:sz w:val="12"/>
                  <w:szCs w:val="12"/>
                  <w:color w:val="0000FF"/>
                </w:rPr>
                <w:t>the Registrant and KBSIII Almaden Financial Plaza, LLC.</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10.19</w:t>
            </w:r>
          </w:p>
        </w:tc>
        <w:tc>
          <w:tcPr>
            <w:tcW w:w="500" w:type="dxa"/>
            <w:vAlign w:val="bottom"/>
            <w:gridSpan w:val="3"/>
            <w:vMerge w:val="restart"/>
          </w:tcPr>
          <w:p>
            <w:pPr>
              <w:spacing w:after="0"/>
              <w:rPr>
                <w:rFonts w:ascii="Arial" w:cs="Arial" w:eastAsia="Arial" w:hAnsi="Arial"/>
                <w:sz w:val="14"/>
                <w:szCs w:val="14"/>
                <w:color w:val="0000FF"/>
                <w:w w:val="72"/>
              </w:rPr>
            </w:pPr>
            <w:hyperlink r:id="rId134">
              <w:r>
                <w:rPr>
                  <w:rFonts w:ascii="Arial" w:cs="Arial" w:eastAsia="Arial" w:hAnsi="Arial"/>
                  <w:sz w:val="14"/>
                  <w:szCs w:val="14"/>
                  <w:color w:val="0000FF"/>
                  <w:w w:val="72"/>
                </w:rPr>
                <w:t>Registrant</w:t>
              </w:r>
            </w:hyperlink>
          </w:p>
        </w:tc>
        <w:tc>
          <w:tcPr>
            <w:tcW w:w="3540" w:type="dxa"/>
            <w:vAlign w:val="bottom"/>
            <w:gridSpan w:val="39"/>
          </w:tcPr>
          <w:p>
            <w:pPr>
              <w:spacing w:after="0"/>
              <w:rPr>
                <w:rFonts w:ascii="Arial" w:cs="Arial" w:eastAsia="Arial" w:hAnsi="Arial"/>
                <w:sz w:val="14"/>
                <w:szCs w:val="14"/>
                <w:color w:val="0000FF"/>
                <w:w w:val="93"/>
              </w:rPr>
            </w:pPr>
            <w:hyperlink r:id="rId134">
              <w:r>
                <w:rPr>
                  <w:rFonts w:ascii="Arial" w:cs="Arial" w:eastAsia="Arial" w:hAnsi="Arial"/>
                  <w:sz w:val="14"/>
                  <w:szCs w:val="14"/>
                  <w:color w:val="0000FF"/>
                  <w:w w:val="93"/>
                </w:rPr>
                <w:t>Fourth Amendment to Lease Agreement by and between the</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360" w:type="dxa"/>
            <w:vAlign w:val="bottom"/>
            <w:tcBorders>
              <w:top w:val="single" w:sz="8" w:color="0000FF"/>
            </w:tcBorders>
            <w:gridSpan w:val="31"/>
          </w:tcPr>
          <w:p>
            <w:pPr>
              <w:ind w:left="100"/>
              <w:spacing w:after="0" w:line="111" w:lineRule="exact"/>
              <w:rPr>
                <w:rFonts w:ascii="Arial" w:cs="Arial" w:eastAsia="Arial" w:hAnsi="Arial"/>
                <w:sz w:val="12"/>
                <w:szCs w:val="12"/>
                <w:color w:val="0000FF"/>
              </w:rPr>
            </w:pPr>
            <w:hyperlink r:id="rId134">
              <w:r>
                <w:rPr>
                  <w:rFonts w:ascii="Arial" w:cs="Arial" w:eastAsia="Arial" w:hAnsi="Arial"/>
                  <w:sz w:val="12"/>
                  <w:szCs w:val="12"/>
                  <w:color w:val="0000FF"/>
                </w:rPr>
                <w:t>and KBSIII Almaden Financial Plaza, LLC.</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10.20</w:t>
            </w:r>
          </w:p>
        </w:tc>
        <w:tc>
          <w:tcPr>
            <w:tcW w:w="500" w:type="dxa"/>
            <w:vAlign w:val="bottom"/>
            <w:gridSpan w:val="3"/>
            <w:vMerge w:val="restart"/>
          </w:tcPr>
          <w:p>
            <w:pPr>
              <w:spacing w:after="0"/>
              <w:rPr>
                <w:rFonts w:ascii="Arial" w:cs="Arial" w:eastAsia="Arial" w:hAnsi="Arial"/>
                <w:sz w:val="14"/>
                <w:szCs w:val="14"/>
                <w:color w:val="0000FF"/>
              </w:rPr>
            </w:pPr>
            <w:hyperlink r:id="rId135">
              <w:r>
                <w:rPr>
                  <w:rFonts w:ascii="Arial" w:cs="Arial" w:eastAsia="Arial" w:hAnsi="Arial"/>
                  <w:sz w:val="14"/>
                  <w:szCs w:val="14"/>
                  <w:color w:val="0000FF"/>
                </w:rPr>
                <w:t>Video</w:t>
              </w:r>
            </w:hyperlink>
          </w:p>
        </w:tc>
        <w:tc>
          <w:tcPr>
            <w:tcW w:w="3540" w:type="dxa"/>
            <w:vAlign w:val="bottom"/>
            <w:gridSpan w:val="39"/>
          </w:tcPr>
          <w:p>
            <w:pPr>
              <w:spacing w:after="0"/>
              <w:rPr>
                <w:rFonts w:ascii="Arial" w:cs="Arial" w:eastAsia="Arial" w:hAnsi="Arial"/>
                <w:sz w:val="14"/>
                <w:szCs w:val="14"/>
                <w:color w:val="0000FF"/>
                <w:w w:val="92"/>
              </w:rPr>
            </w:pPr>
            <w:hyperlink r:id="rId135">
              <w:r>
                <w:rPr>
                  <w:rFonts w:ascii="Arial" w:cs="Arial" w:eastAsia="Arial" w:hAnsi="Arial"/>
                  <w:sz w:val="14"/>
                  <w:szCs w:val="14"/>
                  <w:color w:val="0000FF"/>
                  <w:w w:val="92"/>
                </w:rPr>
                <w:t>Fifth Amendment to Lease Agreement by and between Zoom</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460" w:type="dxa"/>
            <w:vAlign w:val="bottom"/>
            <w:tcBorders>
              <w:top w:val="single" w:sz="8" w:color="0000FF"/>
            </w:tcBorders>
            <w:gridSpan w:val="36"/>
          </w:tcPr>
          <w:p>
            <w:pPr>
              <w:spacing w:after="0" w:line="111" w:lineRule="exact"/>
              <w:rPr>
                <w:rFonts w:ascii="Arial" w:cs="Arial" w:eastAsia="Arial" w:hAnsi="Arial"/>
                <w:sz w:val="12"/>
                <w:szCs w:val="12"/>
                <w:color w:val="0000FF"/>
              </w:rPr>
            </w:pPr>
            <w:hyperlink r:id="rId135">
              <w:r>
                <w:rPr>
                  <w:rFonts w:ascii="Arial" w:cs="Arial" w:eastAsia="Arial" w:hAnsi="Arial"/>
                  <w:sz w:val="12"/>
                  <w:szCs w:val="12"/>
                  <w:color w:val="0000FF"/>
                </w:rPr>
                <w:t>Communications, Inc. and KBSIII Almaden Financial Plaza,</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0" w:type="dxa"/>
            <w:vAlign w:val="bottom"/>
            <w:tcBorders>
              <w:top w:val="single" w:sz="8" w:color="0000FF"/>
            </w:tcBorders>
            <w:gridSpan w:val="31"/>
          </w:tcPr>
          <w:p>
            <w:pPr>
              <w:spacing w:after="0" w:line="111" w:lineRule="exact"/>
              <w:rPr>
                <w:rFonts w:ascii="Arial" w:cs="Arial" w:eastAsia="Arial" w:hAnsi="Arial"/>
                <w:sz w:val="12"/>
                <w:szCs w:val="12"/>
                <w:color w:val="0000FF"/>
              </w:rPr>
            </w:pPr>
            <w:hyperlink r:id="rId135">
              <w:r>
                <w:rPr>
                  <w:rFonts w:ascii="Arial" w:cs="Arial" w:eastAsia="Arial" w:hAnsi="Arial"/>
                  <w:sz w:val="12"/>
                  <w:szCs w:val="12"/>
                  <w:color w:val="0000FF"/>
                </w:rPr>
                <w:t>LLC dated March 9, 2020.</w:t>
              </w:r>
            </w:hyperlink>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10.21#</w:t>
            </w:r>
          </w:p>
        </w:tc>
        <w:tc>
          <w:tcPr>
            <w:tcW w:w="500" w:type="dxa"/>
            <w:vAlign w:val="bottom"/>
            <w:gridSpan w:val="3"/>
            <w:vMerge w:val="restart"/>
          </w:tcPr>
          <w:p>
            <w:pPr>
              <w:spacing w:after="0"/>
              <w:rPr>
                <w:rFonts w:ascii="Arial" w:cs="Arial" w:eastAsia="Arial" w:hAnsi="Arial"/>
                <w:sz w:val="14"/>
                <w:szCs w:val="14"/>
                <w:color w:val="0000FF"/>
                <w:w w:val="78"/>
              </w:rPr>
            </w:pPr>
            <w:hyperlink w:anchor="page107">
              <w:r>
                <w:rPr>
                  <w:rFonts w:ascii="Arial" w:cs="Arial" w:eastAsia="Arial" w:hAnsi="Arial"/>
                  <w:sz w:val="14"/>
                  <w:szCs w:val="14"/>
                  <w:color w:val="0000FF"/>
                  <w:w w:val="78"/>
                </w:rPr>
                <w:t>amended</w:t>
              </w:r>
            </w:hyperlink>
          </w:p>
        </w:tc>
        <w:tc>
          <w:tcPr>
            <w:tcW w:w="3540" w:type="dxa"/>
            <w:vAlign w:val="bottom"/>
            <w:gridSpan w:val="39"/>
          </w:tcPr>
          <w:p>
            <w:pPr>
              <w:spacing w:after="0"/>
              <w:rPr>
                <w:rFonts w:ascii="Arial" w:cs="Arial" w:eastAsia="Arial" w:hAnsi="Arial"/>
                <w:sz w:val="14"/>
                <w:szCs w:val="14"/>
                <w:color w:val="0000FF"/>
                <w:w w:val="94"/>
              </w:rPr>
            </w:pPr>
            <w:hyperlink w:anchor="page107">
              <w:r>
                <w:rPr>
                  <w:rFonts w:ascii="Arial" w:cs="Arial" w:eastAsia="Arial" w:hAnsi="Arial"/>
                  <w:sz w:val="14"/>
                  <w:szCs w:val="14"/>
                  <w:color w:val="0000FF"/>
                  <w:w w:val="94"/>
                </w:rPr>
                <w:t>Zoom Video Communications, Inc. Officer Incentive Plan, as</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420" w:type="dxa"/>
            <w:vAlign w:val="bottom"/>
            <w:tcBorders>
              <w:top w:val="single" w:sz="8" w:color="0000FF"/>
            </w:tcBorders>
            <w:gridSpan w:val="2"/>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40" w:type="dxa"/>
            <w:vAlign w:val="bottom"/>
            <w:tcBorders>
              <w:top w:val="single" w:sz="8" w:color="0000FF"/>
            </w:tcBorders>
            <w:gridSpan w:val="8"/>
          </w:tcPr>
          <w:p>
            <w:pPr>
              <w:spacing w:after="0"/>
              <w:rPr>
                <w:sz w:val="9"/>
                <w:szCs w:val="9"/>
                <w:color w:val="auto"/>
              </w:rPr>
            </w:pPr>
          </w:p>
        </w:tc>
        <w:tc>
          <w:tcPr>
            <w:tcW w:w="540" w:type="dxa"/>
            <w:vAlign w:val="bottom"/>
            <w:tcBorders>
              <w:top w:val="single" w:sz="8" w:color="0000FF"/>
            </w:tcBorders>
            <w:gridSpan w:val="4"/>
          </w:tcPr>
          <w:p>
            <w:pPr>
              <w:spacing w:after="0"/>
              <w:rPr>
                <w:sz w:val="9"/>
                <w:szCs w:val="9"/>
                <w:color w:val="auto"/>
              </w:rPr>
            </w:pPr>
          </w:p>
        </w:tc>
        <w:tc>
          <w:tcPr>
            <w:tcW w:w="980" w:type="dxa"/>
            <w:vAlign w:val="bottom"/>
            <w:tcBorders>
              <w:top w:val="single" w:sz="8" w:color="0000FF"/>
            </w:tcBorders>
            <w:gridSpan w:val="3"/>
          </w:tcPr>
          <w:p>
            <w:pPr>
              <w:spacing w:after="0"/>
              <w:rPr>
                <w:sz w:val="9"/>
                <w:szCs w:val="9"/>
                <w:color w:val="auto"/>
              </w:rPr>
            </w:pPr>
          </w:p>
        </w:tc>
        <w:tc>
          <w:tcPr>
            <w:tcW w:w="60" w:type="dxa"/>
            <w:vAlign w:val="bottom"/>
            <w:tcBorders>
              <w:top w:val="single" w:sz="8" w:color="0000FF"/>
            </w:tcBorders>
            <w:gridSpan w:val="2"/>
          </w:tcPr>
          <w:p>
            <w:pPr>
              <w:spacing w:after="0"/>
              <w:rPr>
                <w:sz w:val="9"/>
                <w:szCs w:val="9"/>
                <w:color w:val="auto"/>
              </w:rPr>
            </w:pPr>
          </w:p>
        </w:tc>
        <w:tc>
          <w:tcPr>
            <w:tcW w:w="260" w:type="dxa"/>
            <w:vAlign w:val="bottom"/>
            <w:tcBorders>
              <w:top w:val="single" w:sz="8" w:color="0000FF"/>
            </w:tcBorders>
            <w:gridSpan w:val="9"/>
          </w:tcPr>
          <w:p>
            <w:pPr>
              <w:spacing w:after="0"/>
              <w:rPr>
                <w:sz w:val="9"/>
                <w:szCs w:val="9"/>
                <w:color w:val="auto"/>
              </w:rPr>
            </w:pPr>
          </w:p>
        </w:tc>
        <w:tc>
          <w:tcPr>
            <w:tcW w:w="120" w:type="dxa"/>
            <w:vAlign w:val="bottom"/>
            <w:tcBorders>
              <w:top w:val="single" w:sz="8" w:color="0000FF"/>
            </w:tcBorders>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line="150" w:lineRule="exact"/>
              <w:rPr>
                <w:sz w:val="20"/>
                <w:szCs w:val="20"/>
                <w:color w:val="auto"/>
              </w:rPr>
            </w:pPr>
            <w:r>
              <w:rPr>
                <w:rFonts w:ascii="Arial" w:cs="Arial" w:eastAsia="Arial" w:hAnsi="Arial"/>
                <w:sz w:val="14"/>
                <w:szCs w:val="14"/>
                <w:color w:val="auto"/>
              </w:rPr>
              <w:t>10.22</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39"/>
          </w:tcPr>
          <w:p>
            <w:pPr>
              <w:spacing w:after="0" w:line="150" w:lineRule="exact"/>
              <w:rPr>
                <w:rFonts w:ascii="Arial" w:cs="Arial" w:eastAsia="Arial" w:hAnsi="Arial"/>
                <w:sz w:val="14"/>
                <w:szCs w:val="14"/>
                <w:color w:val="auto"/>
              </w:rPr>
            </w:pPr>
            <w:hyperlink r:id="rId136">
              <w:r>
                <w:rPr>
                  <w:rFonts w:ascii="Arial" w:cs="Arial" w:eastAsia="Arial" w:hAnsi="Arial"/>
                  <w:sz w:val="14"/>
                  <w:szCs w:val="14"/>
                  <w:color w:val="auto"/>
                </w:rPr>
                <w:t>Common Stock Purchase Agreement by and among the</w:t>
              </w:r>
            </w:hyperlink>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500" w:type="dxa"/>
            <w:vAlign w:val="bottom"/>
            <w:gridSpan w:val="3"/>
          </w:tcPr>
          <w:p>
            <w:pPr>
              <w:spacing w:after="0" w:line="118" w:lineRule="exact"/>
              <w:rPr>
                <w:rFonts w:ascii="Arial" w:cs="Arial" w:eastAsia="Arial" w:hAnsi="Arial"/>
                <w:sz w:val="13"/>
                <w:szCs w:val="13"/>
                <w:color w:val="auto"/>
                <w:w w:val="73"/>
              </w:rPr>
            </w:pPr>
            <w:hyperlink r:id="rId136">
              <w:r>
                <w:rPr>
                  <w:rFonts w:ascii="Arial" w:cs="Arial" w:eastAsia="Arial" w:hAnsi="Arial"/>
                  <w:sz w:val="13"/>
                  <w:szCs w:val="13"/>
                  <w:color w:val="auto"/>
                  <w:w w:val="73"/>
                </w:rPr>
                <w:t>Registrant,</w:t>
              </w:r>
            </w:hyperlink>
          </w:p>
        </w:tc>
        <w:tc>
          <w:tcPr>
            <w:tcW w:w="3060" w:type="dxa"/>
            <w:vAlign w:val="bottom"/>
            <w:tcBorders>
              <w:top w:val="single" w:sz="8" w:color="auto"/>
            </w:tcBorders>
            <w:gridSpan w:val="20"/>
          </w:tcPr>
          <w:p>
            <w:pPr>
              <w:ind w:left="140"/>
              <w:spacing w:after="0" w:line="118" w:lineRule="exact"/>
              <w:rPr>
                <w:rFonts w:ascii="Arial" w:cs="Arial" w:eastAsia="Arial" w:hAnsi="Arial"/>
                <w:sz w:val="13"/>
                <w:szCs w:val="13"/>
                <w:color w:val="auto"/>
                <w:w w:val="99"/>
              </w:rPr>
            </w:pPr>
            <w:hyperlink r:id="rId136">
              <w:r>
                <w:rPr>
                  <w:rFonts w:ascii="Arial" w:cs="Arial" w:eastAsia="Arial" w:hAnsi="Arial"/>
                  <w:sz w:val="13"/>
                  <w:szCs w:val="13"/>
                  <w:color w:val="auto"/>
                  <w:w w:val="99"/>
                </w:rPr>
                <w:t>salesforce.com, inc. and Salesforce Ventures LLC,</w:t>
              </w:r>
            </w:hyperlink>
          </w:p>
        </w:tc>
        <w:tc>
          <w:tcPr>
            <w:tcW w:w="480" w:type="dxa"/>
            <w:vAlign w:val="bottom"/>
            <w:gridSpan w:val="19"/>
          </w:tcPr>
          <w:p>
            <w:pPr>
              <w:spacing w:after="0" w:line="118" w:lineRule="exact"/>
              <w:rPr>
                <w:rFonts w:ascii="Arial" w:cs="Arial" w:eastAsia="Arial" w:hAnsi="Arial"/>
                <w:sz w:val="13"/>
                <w:szCs w:val="13"/>
                <w:color w:val="auto"/>
                <w:w w:val="92"/>
              </w:rPr>
            </w:pPr>
            <w:hyperlink r:id="rId136">
              <w:r>
                <w:rPr>
                  <w:rFonts w:ascii="Arial" w:cs="Arial" w:eastAsia="Arial" w:hAnsi="Arial"/>
                  <w:sz w:val="13"/>
                  <w:szCs w:val="13"/>
                  <w:color w:val="auto"/>
                  <w:w w:val="92"/>
                </w:rPr>
                <w:t>dated as</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top w:val="single" w:sz="8" w:color="auto"/>
              <w:bottom w:val="single" w:sz="8" w:color="auto"/>
            </w:tcBorders>
            <w:gridSpan w:val="5"/>
          </w:tcPr>
          <w:p>
            <w:pPr>
              <w:spacing w:after="0" w:line="111" w:lineRule="exact"/>
              <w:rPr>
                <w:rFonts w:ascii="Arial" w:cs="Arial" w:eastAsia="Arial" w:hAnsi="Arial"/>
                <w:sz w:val="12"/>
                <w:szCs w:val="12"/>
                <w:color w:val="auto"/>
              </w:rPr>
            </w:pPr>
            <w:hyperlink r:id="rId136">
              <w:r>
                <w:rPr>
                  <w:rFonts w:ascii="Arial" w:cs="Arial" w:eastAsia="Arial" w:hAnsi="Arial"/>
                  <w:sz w:val="12"/>
                  <w:szCs w:val="12"/>
                  <w:color w:val="auto"/>
                </w:rPr>
                <w:t>of April 5, 2019.</w:t>
              </w:r>
            </w:hyperlink>
          </w:p>
        </w:tc>
        <w:tc>
          <w:tcPr>
            <w:tcW w:w="3080" w:type="dxa"/>
            <w:vAlign w:val="bottom"/>
            <w:tcBorders>
              <w:top w:val="single" w:sz="8" w:color="auto"/>
            </w:tcBorders>
            <w:gridSpan w:val="3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gridSpan w:val="39"/>
          </w:tcPr>
          <w:p>
            <w:pPr>
              <w:spacing w:after="0"/>
              <w:rPr>
                <w:rFonts w:ascii="Arial" w:cs="Arial" w:eastAsia="Arial" w:hAnsi="Arial"/>
                <w:sz w:val="14"/>
                <w:szCs w:val="14"/>
                <w:color w:val="0000FF"/>
              </w:rPr>
            </w:pPr>
            <w:hyperlink w:anchor="page112">
              <w:r>
                <w:rPr>
                  <w:rFonts w:ascii="Arial" w:cs="Arial" w:eastAsia="Arial" w:hAnsi="Arial"/>
                  <w:sz w:val="14"/>
                  <w:szCs w:val="14"/>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23.1</w:t>
            </w:r>
          </w:p>
        </w:tc>
        <w:tc>
          <w:tcPr>
            <w:tcW w:w="500" w:type="dxa"/>
            <w:vAlign w:val="bottom"/>
            <w:gridSpan w:val="3"/>
            <w:vMerge w:val="restart"/>
          </w:tcPr>
          <w:p>
            <w:pPr>
              <w:spacing w:after="0"/>
              <w:rPr>
                <w:rFonts w:ascii="Arial" w:cs="Arial" w:eastAsia="Arial" w:hAnsi="Arial"/>
                <w:sz w:val="13"/>
                <w:szCs w:val="13"/>
                <w:color w:val="0000FF"/>
                <w:w w:val="73"/>
              </w:rPr>
            </w:pPr>
            <w:hyperlink w:anchor="page113">
              <w:r>
                <w:rPr>
                  <w:rFonts w:ascii="Arial" w:cs="Arial" w:eastAsia="Arial" w:hAnsi="Arial"/>
                  <w:sz w:val="13"/>
                  <w:szCs w:val="13"/>
                  <w:color w:val="0000FF"/>
                  <w:w w:val="73"/>
                </w:rPr>
                <w:t>accounting</w:t>
              </w:r>
            </w:hyperlink>
          </w:p>
        </w:tc>
        <w:tc>
          <w:tcPr>
            <w:tcW w:w="3540" w:type="dxa"/>
            <w:vAlign w:val="bottom"/>
            <w:gridSpan w:val="39"/>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Consent of KPMG LLP, independent registered public</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3000" w:type="dxa"/>
            <w:vAlign w:val="bottom"/>
            <w:tcBorders>
              <w:top w:val="single" w:sz="8" w:color="0000FF"/>
            </w:tcBorders>
            <w:gridSpan w:val="18"/>
          </w:tcPr>
          <w:p>
            <w:pPr>
              <w:ind w:left="140"/>
              <w:spacing w:after="0" w:line="111" w:lineRule="exact"/>
              <w:rPr>
                <w:rFonts w:ascii="Arial" w:cs="Arial" w:eastAsia="Arial" w:hAnsi="Arial"/>
                <w:sz w:val="12"/>
                <w:szCs w:val="12"/>
                <w:color w:val="0000FF"/>
              </w:rPr>
            </w:pPr>
            <w:hyperlink w:anchor="page113">
              <w:r>
                <w:rPr>
                  <w:rFonts w:ascii="Arial" w:cs="Arial" w:eastAsia="Arial" w:hAnsi="Arial"/>
                  <w:sz w:val="12"/>
                  <w:szCs w:val="12"/>
                  <w:color w:val="0000FF"/>
                </w:rPr>
                <w:t>firm.</w:t>
              </w:r>
            </w:hyperlink>
          </w:p>
        </w:tc>
        <w:tc>
          <w:tcPr>
            <w:tcW w:w="320" w:type="dxa"/>
            <w:vAlign w:val="bottom"/>
            <w:gridSpan w:val="11"/>
          </w:tcPr>
          <w:p>
            <w:pPr>
              <w:spacing w:after="0"/>
              <w:rPr>
                <w:sz w:val="9"/>
                <w:szCs w:val="9"/>
                <w:color w:val="auto"/>
              </w:rPr>
            </w:pPr>
          </w:p>
        </w:tc>
        <w:tc>
          <w:tcPr>
            <w:tcW w:w="160" w:type="dxa"/>
            <w:vAlign w:val="bottom"/>
            <w:gridSpan w:val="8"/>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840" w:type="dxa"/>
            <w:vAlign w:val="bottom"/>
            <w:gridSpan w:val="1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24.1</w:t>
            </w:r>
          </w:p>
        </w:tc>
        <w:tc>
          <w:tcPr>
            <w:tcW w:w="500" w:type="dxa"/>
            <w:vAlign w:val="bottom"/>
            <w:gridSpan w:val="3"/>
            <w:vMerge w:val="restart"/>
          </w:tcPr>
          <w:p>
            <w:pPr>
              <w:spacing w:after="0"/>
              <w:rPr>
                <w:rFonts w:ascii="Arial" w:cs="Arial" w:eastAsia="Arial" w:hAnsi="Arial"/>
                <w:sz w:val="14"/>
                <w:szCs w:val="14"/>
                <w:color w:val="0000FF"/>
                <w:w w:val="95"/>
              </w:rPr>
            </w:pPr>
            <w:hyperlink w:anchor="page98">
              <w:r>
                <w:rPr>
                  <w:rFonts w:ascii="Arial" w:cs="Arial" w:eastAsia="Arial" w:hAnsi="Arial"/>
                  <w:sz w:val="14"/>
                  <w:szCs w:val="14"/>
                  <w:color w:val="0000FF"/>
                  <w:w w:val="95"/>
                </w:rPr>
                <w:t>hereto).</w:t>
              </w:r>
            </w:hyperlink>
          </w:p>
        </w:tc>
        <w:tc>
          <w:tcPr>
            <w:tcW w:w="3320" w:type="dxa"/>
            <w:vAlign w:val="bottom"/>
            <w:tcBorders>
              <w:bottom w:val="single" w:sz="8" w:color="0000FF"/>
            </w:tcBorders>
            <w:gridSpan w:val="29"/>
          </w:tcPr>
          <w:p>
            <w:pPr>
              <w:spacing w:after="0"/>
              <w:rPr>
                <w:rFonts w:ascii="Arial" w:cs="Arial" w:eastAsia="Arial" w:hAnsi="Arial"/>
                <w:sz w:val="14"/>
                <w:szCs w:val="14"/>
                <w:color w:val="0000FF"/>
                <w:w w:val="89"/>
              </w:rPr>
            </w:pPr>
            <w:hyperlink w:anchor="page98">
              <w:r>
                <w:rPr>
                  <w:rFonts w:ascii="Arial" w:cs="Arial" w:eastAsia="Arial" w:hAnsi="Arial"/>
                  <w:sz w:val="14"/>
                  <w:szCs w:val="14"/>
                  <w:color w:val="0000FF"/>
                  <w:w w:val="89"/>
                </w:rPr>
                <w:t>Power of Attorney (reference is made to the signature page</w:t>
              </w:r>
            </w:hyperlink>
          </w:p>
        </w:tc>
        <w:tc>
          <w:tcPr>
            <w:tcW w:w="2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500" w:type="dxa"/>
            <w:vAlign w:val="bottom"/>
            <w:gridSpan w:val="3"/>
            <w:vMerge w:val="continue"/>
          </w:tcPr>
          <w:p>
            <w:pPr>
              <w:spacing w:after="0"/>
              <w:rPr>
                <w:sz w:val="9"/>
                <w:szCs w:val="9"/>
                <w:color w:val="auto"/>
              </w:rPr>
            </w:pPr>
          </w:p>
        </w:tc>
        <w:tc>
          <w:tcPr>
            <w:tcW w:w="3480" w:type="dxa"/>
            <w:vAlign w:val="bottom"/>
            <w:gridSpan w:val="37"/>
            <w:vMerge w:val="restart"/>
          </w:tcPr>
          <w:p>
            <w:pPr>
              <w:spacing w:after="0"/>
              <w:rPr>
                <w:rFonts w:ascii="Arial" w:cs="Arial" w:eastAsia="Arial" w:hAnsi="Arial"/>
                <w:sz w:val="14"/>
                <w:szCs w:val="14"/>
                <w:color w:val="0000FF"/>
                <w:w w:val="92"/>
              </w:rPr>
            </w:pPr>
            <w:hyperlink w:anchor="page114">
              <w:r>
                <w:rPr>
                  <w:rFonts w:ascii="Arial" w:cs="Arial" w:eastAsia="Arial" w:hAnsi="Arial"/>
                  <w:sz w:val="14"/>
                  <w:szCs w:val="14"/>
                  <w:color w:val="0000FF"/>
                  <w:w w:val="92"/>
                </w:rPr>
                <w:t>Certification of Chief Executive Officer pursuant to Exchange</w:t>
              </w:r>
            </w:hyperlink>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Borders>
              <w:bottom w:val="single" w:sz="8" w:color="0000FF"/>
            </w:tcBorders>
            <w:gridSpan w:val="37"/>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980" w:type="dxa"/>
            <w:vAlign w:val="bottom"/>
            <w:tcBorders>
              <w:bottom w:val="single" w:sz="8" w:color="0000FF"/>
            </w:tcBorders>
            <w:gridSpan w:val="40"/>
          </w:tcPr>
          <w:p>
            <w:pPr>
              <w:spacing w:after="0" w:line="111" w:lineRule="exact"/>
              <w:rPr>
                <w:rFonts w:ascii="Arial" w:cs="Arial" w:eastAsia="Arial" w:hAnsi="Arial"/>
                <w:sz w:val="12"/>
                <w:szCs w:val="12"/>
                <w:color w:val="0000FF"/>
              </w:rPr>
            </w:pPr>
            <w:hyperlink w:anchor="page114">
              <w:r>
                <w:rPr>
                  <w:rFonts w:ascii="Arial" w:cs="Arial" w:eastAsia="Arial" w:hAnsi="Arial"/>
                  <w:sz w:val="12"/>
                  <w:szCs w:val="12"/>
                  <w:color w:val="0000FF"/>
                </w:rPr>
                <w:t>Act Rules 13a-14(a) and 15d-14(a), as adopted pursuant to Section 302</w:t>
              </w:r>
            </w:hyperlink>
          </w:p>
        </w:tc>
        <w:tc>
          <w:tcPr>
            <w:tcW w:w="4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1980" w:type="dxa"/>
            <w:vAlign w:val="bottom"/>
            <w:tcBorders>
              <w:bottom w:val="single" w:sz="8" w:color="0000FF"/>
            </w:tcBorders>
            <w:gridSpan w:val="14"/>
          </w:tcPr>
          <w:p>
            <w:pPr>
              <w:spacing w:after="0" w:line="111" w:lineRule="exact"/>
              <w:rPr>
                <w:rFonts w:ascii="Arial" w:cs="Arial" w:eastAsia="Arial" w:hAnsi="Arial"/>
                <w:sz w:val="12"/>
                <w:szCs w:val="12"/>
                <w:color w:val="0000FF"/>
              </w:rPr>
            </w:pPr>
            <w:hyperlink w:anchor="page114">
              <w:r>
                <w:rPr>
                  <w:rFonts w:ascii="Arial" w:cs="Arial" w:eastAsia="Arial" w:hAnsi="Arial"/>
                  <w:sz w:val="12"/>
                  <w:szCs w:val="12"/>
                  <w:color w:val="0000FF"/>
                </w:rPr>
                <w:t>of the Sarbanes-Oxley Act of 2002.</w:t>
              </w:r>
            </w:hyperlink>
          </w:p>
        </w:tc>
        <w:tc>
          <w:tcPr>
            <w:tcW w:w="2040" w:type="dxa"/>
            <w:vAlign w:val="bottom"/>
            <w:gridSpan w:val="2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4.2</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627"/>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10.1</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S-1/A</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10.2</w:t>
            </w:r>
          </w:p>
        </w:tc>
        <w:tc>
          <w:tcPr>
            <w:tcW w:w="1400" w:type="dxa"/>
            <w:vAlign w:val="bottom"/>
          </w:tcPr>
          <w:p>
            <w:pPr>
              <w:ind w:left="820"/>
              <w:spacing w:after="0"/>
              <w:rPr>
                <w:sz w:val="20"/>
                <w:szCs w:val="20"/>
                <w:color w:val="auto"/>
              </w:rPr>
            </w:pPr>
            <w:r>
              <w:rPr>
                <w:rFonts w:ascii="Arial" w:cs="Arial" w:eastAsia="Arial" w:hAnsi="Arial"/>
                <w:sz w:val="14"/>
                <w:szCs w:val="14"/>
                <w:color w:val="auto"/>
                <w:w w:val="88"/>
              </w:rPr>
              <w:t>April 8. 20</w:t>
            </w:r>
          </w:p>
        </w:tc>
      </w:tr>
      <w:tr>
        <w:trPr>
          <w:trHeight w:val="272"/>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10.3</w:t>
            </w:r>
          </w:p>
        </w:tc>
        <w:tc>
          <w:tcPr>
            <w:tcW w:w="1400" w:type="dxa"/>
            <w:vAlign w:val="bottom"/>
          </w:tcPr>
          <w:p>
            <w:pPr>
              <w:ind w:left="820"/>
              <w:spacing w:after="0"/>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2020</w:t>
            </w:r>
          </w:p>
        </w:tc>
      </w:tr>
      <w:tr>
        <w:trPr>
          <w:trHeight w:val="266"/>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10.1</w:t>
            </w:r>
          </w:p>
        </w:tc>
        <w:tc>
          <w:tcPr>
            <w:tcW w:w="1400" w:type="dxa"/>
            <w:vAlign w:val="bottom"/>
          </w:tcPr>
          <w:p>
            <w:pPr>
              <w:ind w:left="820"/>
              <w:spacing w:after="0"/>
              <w:rPr>
                <w:sz w:val="20"/>
                <w:szCs w:val="20"/>
                <w:color w:val="auto"/>
              </w:rPr>
            </w:pPr>
            <w:r>
              <w:rPr>
                <w:rFonts w:ascii="Arial" w:cs="Arial" w:eastAsia="Arial" w:hAnsi="Arial"/>
                <w:sz w:val="14"/>
                <w:szCs w:val="14"/>
                <w:color w:val="auto"/>
                <w:w w:val="86"/>
              </w:rPr>
              <w:t>December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2020</w:t>
            </w:r>
          </w:p>
        </w:tc>
      </w:tr>
      <w:tr>
        <w:trPr>
          <w:trHeight w:val="308"/>
        </w:trPr>
        <w:tc>
          <w:tcPr>
            <w:tcW w:w="920" w:type="dxa"/>
            <w:vAlign w:val="bottom"/>
          </w:tcPr>
          <w:p>
            <w:pPr>
              <w:spacing w:after="0"/>
              <w:rPr>
                <w:sz w:val="20"/>
                <w:szCs w:val="20"/>
                <w:color w:val="auto"/>
              </w:rPr>
            </w:pPr>
            <w:r>
              <w:rPr>
                <w:rFonts w:ascii="Arial" w:cs="Arial" w:eastAsia="Arial" w:hAnsi="Arial"/>
                <w:sz w:val="14"/>
                <w:szCs w:val="14"/>
                <w:color w:val="auto"/>
              </w:rPr>
              <w:t>S-1/A</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10.3</w:t>
            </w:r>
          </w:p>
        </w:tc>
        <w:tc>
          <w:tcPr>
            <w:tcW w:w="1400" w:type="dxa"/>
            <w:vAlign w:val="bottom"/>
          </w:tcPr>
          <w:p>
            <w:pPr>
              <w:ind w:left="820"/>
              <w:spacing w:after="0"/>
              <w:rPr>
                <w:sz w:val="20"/>
                <w:szCs w:val="20"/>
                <w:color w:val="auto"/>
              </w:rPr>
            </w:pPr>
            <w:r>
              <w:rPr>
                <w:rFonts w:ascii="Arial" w:cs="Arial" w:eastAsia="Arial" w:hAnsi="Arial"/>
                <w:sz w:val="14"/>
                <w:szCs w:val="14"/>
                <w:color w:val="auto"/>
                <w:w w:val="88"/>
              </w:rPr>
              <w:t>April 8, 20</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10.4</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10.1</w:t>
            </w:r>
          </w:p>
        </w:tc>
        <w:tc>
          <w:tcPr>
            <w:tcW w:w="1400" w:type="dxa"/>
            <w:vAlign w:val="bottom"/>
          </w:tcPr>
          <w:p>
            <w:pPr>
              <w:ind w:left="820"/>
              <w:spacing w:after="0"/>
              <w:rPr>
                <w:sz w:val="20"/>
                <w:szCs w:val="20"/>
                <w:color w:val="auto"/>
              </w:rPr>
            </w:pPr>
            <w:r>
              <w:rPr>
                <w:rFonts w:ascii="Arial" w:cs="Arial" w:eastAsia="Arial" w:hAnsi="Arial"/>
                <w:sz w:val="14"/>
                <w:szCs w:val="14"/>
                <w:color w:val="auto"/>
                <w:w w:val="88"/>
              </w:rPr>
              <w:t>August 31</w:t>
            </w:r>
          </w:p>
        </w:tc>
      </w:tr>
      <w:tr>
        <w:trPr>
          <w:trHeight w:val="272"/>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10.2</w:t>
            </w:r>
          </w:p>
        </w:tc>
        <w:tc>
          <w:tcPr>
            <w:tcW w:w="1400" w:type="dxa"/>
            <w:vAlign w:val="bottom"/>
          </w:tcPr>
          <w:p>
            <w:pPr>
              <w:ind w:left="820"/>
              <w:spacing w:after="0"/>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2019</w:t>
            </w:r>
          </w:p>
        </w:tc>
      </w:tr>
      <w:tr>
        <w:trPr>
          <w:trHeight w:val="136"/>
        </w:trPr>
        <w:tc>
          <w:tcPr>
            <w:tcW w:w="920" w:type="dxa"/>
            <w:vAlign w:val="bottom"/>
          </w:tcPr>
          <w:p>
            <w:pPr>
              <w:spacing w:after="0" w:line="136" w:lineRule="exact"/>
              <w:rPr>
                <w:sz w:val="20"/>
                <w:szCs w:val="20"/>
                <w:color w:val="auto"/>
              </w:rPr>
            </w:pPr>
            <w:r>
              <w:rPr>
                <w:rFonts w:ascii="Arial" w:cs="Arial" w:eastAsia="Arial" w:hAnsi="Arial"/>
                <w:sz w:val="14"/>
                <w:szCs w:val="14"/>
                <w:color w:val="auto"/>
              </w:rPr>
              <w:t>10-Q</w:t>
            </w:r>
          </w:p>
        </w:tc>
        <w:tc>
          <w:tcPr>
            <w:tcW w:w="1700" w:type="dxa"/>
            <w:vAlign w:val="bottom"/>
          </w:tcPr>
          <w:p>
            <w:pPr>
              <w:ind w:left="600"/>
              <w:spacing w:after="0" w:line="136" w:lineRule="exact"/>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line="136" w:lineRule="exact"/>
              <w:rPr>
                <w:sz w:val="20"/>
                <w:szCs w:val="20"/>
                <w:color w:val="auto"/>
              </w:rPr>
            </w:pPr>
            <w:r>
              <w:rPr>
                <w:rFonts w:ascii="Arial" w:cs="Arial" w:eastAsia="Arial" w:hAnsi="Arial"/>
                <w:sz w:val="14"/>
                <w:szCs w:val="14"/>
                <w:color w:val="auto"/>
              </w:rPr>
              <w:t>10.3</w:t>
            </w:r>
          </w:p>
        </w:tc>
        <w:tc>
          <w:tcPr>
            <w:tcW w:w="1400" w:type="dxa"/>
            <w:vAlign w:val="bottom"/>
          </w:tcPr>
          <w:p>
            <w:pPr>
              <w:ind w:left="820"/>
              <w:spacing w:after="0" w:line="136" w:lineRule="exact"/>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2019</w:t>
            </w:r>
          </w:p>
        </w:tc>
      </w:tr>
      <w:tr>
        <w:trPr>
          <w:trHeight w:val="178"/>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10.5</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10.6</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10.7</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10.8</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272"/>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10.4</w:t>
            </w:r>
          </w:p>
        </w:tc>
        <w:tc>
          <w:tcPr>
            <w:tcW w:w="1400" w:type="dxa"/>
            <w:vAlign w:val="bottom"/>
          </w:tcPr>
          <w:p>
            <w:pPr>
              <w:ind w:left="820"/>
              <w:spacing w:after="0"/>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2019</w:t>
            </w:r>
          </w:p>
        </w:tc>
      </w:tr>
      <w:tr>
        <w:trPr>
          <w:trHeight w:val="136"/>
        </w:trPr>
        <w:tc>
          <w:tcPr>
            <w:tcW w:w="920" w:type="dxa"/>
            <w:vAlign w:val="bottom"/>
          </w:tcPr>
          <w:p>
            <w:pPr>
              <w:spacing w:after="0" w:line="136" w:lineRule="exact"/>
              <w:rPr>
                <w:sz w:val="20"/>
                <w:szCs w:val="20"/>
                <w:color w:val="auto"/>
              </w:rPr>
            </w:pPr>
            <w:r>
              <w:rPr>
                <w:rFonts w:ascii="Arial" w:cs="Arial" w:eastAsia="Arial" w:hAnsi="Arial"/>
                <w:sz w:val="14"/>
                <w:szCs w:val="14"/>
                <w:color w:val="auto"/>
              </w:rPr>
              <w:t>10-Q</w:t>
            </w:r>
          </w:p>
        </w:tc>
        <w:tc>
          <w:tcPr>
            <w:tcW w:w="1700" w:type="dxa"/>
            <w:vAlign w:val="bottom"/>
          </w:tcPr>
          <w:p>
            <w:pPr>
              <w:ind w:left="600"/>
              <w:spacing w:after="0" w:line="136" w:lineRule="exact"/>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line="136" w:lineRule="exact"/>
              <w:rPr>
                <w:sz w:val="20"/>
                <w:szCs w:val="20"/>
                <w:color w:val="auto"/>
              </w:rPr>
            </w:pPr>
            <w:r>
              <w:rPr>
                <w:rFonts w:ascii="Arial" w:cs="Arial" w:eastAsia="Arial" w:hAnsi="Arial"/>
                <w:sz w:val="14"/>
                <w:szCs w:val="14"/>
                <w:color w:val="auto"/>
              </w:rPr>
              <w:t>10.1</w:t>
            </w:r>
          </w:p>
        </w:tc>
        <w:tc>
          <w:tcPr>
            <w:tcW w:w="1400" w:type="dxa"/>
            <w:vAlign w:val="bottom"/>
          </w:tcPr>
          <w:p>
            <w:pPr>
              <w:ind w:left="820"/>
              <w:spacing w:after="0" w:line="136" w:lineRule="exact"/>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2020</w:t>
            </w:r>
          </w:p>
        </w:tc>
      </w:tr>
      <w:tr>
        <w:trPr>
          <w:trHeight w:val="136"/>
        </w:trPr>
        <w:tc>
          <w:tcPr>
            <w:tcW w:w="920" w:type="dxa"/>
            <w:vAlign w:val="bottom"/>
          </w:tcPr>
          <w:p>
            <w:pPr>
              <w:spacing w:after="0" w:line="136" w:lineRule="exact"/>
              <w:rPr>
                <w:sz w:val="20"/>
                <w:szCs w:val="20"/>
                <w:color w:val="auto"/>
              </w:rPr>
            </w:pPr>
            <w:r>
              <w:rPr>
                <w:rFonts w:ascii="Arial" w:cs="Arial" w:eastAsia="Arial" w:hAnsi="Arial"/>
                <w:sz w:val="14"/>
                <w:szCs w:val="14"/>
                <w:color w:val="auto"/>
              </w:rPr>
              <w:t>10-Q</w:t>
            </w:r>
          </w:p>
        </w:tc>
        <w:tc>
          <w:tcPr>
            <w:tcW w:w="1700" w:type="dxa"/>
            <w:vAlign w:val="bottom"/>
          </w:tcPr>
          <w:p>
            <w:pPr>
              <w:ind w:left="600"/>
              <w:spacing w:after="0" w:line="136" w:lineRule="exact"/>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line="136" w:lineRule="exact"/>
              <w:rPr>
                <w:sz w:val="20"/>
                <w:szCs w:val="20"/>
                <w:color w:val="auto"/>
              </w:rPr>
            </w:pPr>
            <w:r>
              <w:rPr>
                <w:rFonts w:ascii="Arial" w:cs="Arial" w:eastAsia="Arial" w:hAnsi="Arial"/>
                <w:sz w:val="14"/>
                <w:szCs w:val="14"/>
                <w:color w:val="auto"/>
              </w:rPr>
              <w:t>10.2</w:t>
            </w:r>
          </w:p>
        </w:tc>
        <w:tc>
          <w:tcPr>
            <w:tcW w:w="1400" w:type="dxa"/>
            <w:vAlign w:val="bottom"/>
          </w:tcPr>
          <w:p>
            <w:pPr>
              <w:ind w:left="820"/>
              <w:spacing w:after="0" w:line="136" w:lineRule="exact"/>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2020</w:t>
            </w:r>
          </w:p>
        </w:tc>
      </w:tr>
      <w:tr>
        <w:trPr>
          <w:trHeight w:val="308"/>
        </w:trPr>
        <w:tc>
          <w:tcPr>
            <w:tcW w:w="920" w:type="dxa"/>
            <w:vAlign w:val="bottom"/>
          </w:tcPr>
          <w:p>
            <w:pPr>
              <w:spacing w:after="0"/>
              <w:rPr>
                <w:sz w:val="20"/>
                <w:szCs w:val="20"/>
                <w:color w:val="auto"/>
              </w:rPr>
            </w:pPr>
            <w:r>
              <w:rPr>
                <w:rFonts w:ascii="Arial" w:cs="Arial" w:eastAsia="Arial" w:hAnsi="Arial"/>
                <w:sz w:val="14"/>
                <w:szCs w:val="14"/>
                <w:color w:val="auto"/>
              </w:rPr>
              <w:t>10-K</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10.17</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18,</w:t>
            </w:r>
          </w:p>
        </w:tc>
      </w:tr>
      <w:tr>
        <w:trPr>
          <w:trHeight w:val="314"/>
        </w:trPr>
        <w:tc>
          <w:tcPr>
            <w:tcW w:w="920" w:type="dxa"/>
            <w:vAlign w:val="bottom"/>
          </w:tcPr>
          <w:p>
            <w:pPr>
              <w:spacing w:after="0"/>
              <w:rPr>
                <w:sz w:val="20"/>
                <w:szCs w:val="20"/>
                <w:color w:val="auto"/>
              </w:rPr>
            </w:pPr>
            <w:r>
              <w:rPr>
                <w:rFonts w:ascii="Arial" w:cs="Arial" w:eastAsia="Arial" w:hAnsi="Arial"/>
                <w:sz w:val="14"/>
                <w:szCs w:val="14"/>
                <w:color w:val="auto"/>
              </w:rPr>
              <w:t>S-1</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10.9</w:t>
            </w:r>
          </w:p>
        </w:tc>
        <w:tc>
          <w:tcPr>
            <w:tcW w:w="1400" w:type="dxa"/>
            <w:vAlign w:val="bottom"/>
          </w:tcPr>
          <w:p>
            <w:pPr>
              <w:ind w:left="820"/>
              <w:spacing w:after="0"/>
              <w:rPr>
                <w:sz w:val="20"/>
                <w:szCs w:val="20"/>
                <w:color w:val="auto"/>
              </w:rPr>
            </w:pPr>
            <w:r>
              <w:rPr>
                <w:rFonts w:ascii="Arial" w:cs="Arial" w:eastAsia="Arial" w:hAnsi="Arial"/>
                <w:sz w:val="14"/>
                <w:szCs w:val="14"/>
                <w:color w:val="auto"/>
                <w:w w:val="89"/>
              </w:rPr>
              <w:t>March 22,</w:t>
            </w:r>
          </w:p>
        </w:tc>
      </w:tr>
      <w:tr>
        <w:trPr>
          <w:trHeight w:val="272"/>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10.5</w:t>
            </w:r>
          </w:p>
        </w:tc>
        <w:tc>
          <w:tcPr>
            <w:tcW w:w="1400" w:type="dxa"/>
            <w:vAlign w:val="bottom"/>
          </w:tcPr>
          <w:p>
            <w:pPr>
              <w:ind w:left="820"/>
              <w:spacing w:after="0"/>
              <w:rPr>
                <w:sz w:val="20"/>
                <w:szCs w:val="20"/>
                <w:color w:val="auto"/>
              </w:rPr>
            </w:pPr>
            <w:r>
              <w:rPr>
                <w:rFonts w:ascii="Arial" w:cs="Arial" w:eastAsia="Arial" w:hAnsi="Arial"/>
                <w:sz w:val="14"/>
                <w:szCs w:val="14"/>
                <w:color w:val="auto"/>
                <w:w w:val="81"/>
              </w:rPr>
              <w:t>September</w:t>
            </w:r>
          </w:p>
        </w:tc>
      </w:tr>
      <w:tr>
        <w:trPr>
          <w:trHeight w:val="178"/>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2019</w:t>
            </w:r>
          </w:p>
        </w:tc>
      </w:tr>
      <w:tr>
        <w:trPr>
          <w:trHeight w:val="178"/>
        </w:trPr>
        <w:tc>
          <w:tcPr>
            <w:tcW w:w="920" w:type="dxa"/>
            <w:vAlign w:val="bottom"/>
          </w:tcPr>
          <w:p>
            <w:pPr>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100" w:type="dxa"/>
            <w:vAlign w:val="bottom"/>
          </w:tcPr>
          <w:p>
            <w:pPr>
              <w:ind w:left="440"/>
              <w:spacing w:after="0"/>
              <w:rPr>
                <w:sz w:val="20"/>
                <w:szCs w:val="20"/>
                <w:color w:val="auto"/>
              </w:rPr>
            </w:pPr>
            <w:r>
              <w:rPr>
                <w:rFonts w:ascii="Arial" w:cs="Arial" w:eastAsia="Arial" w:hAnsi="Arial"/>
                <w:sz w:val="14"/>
                <w:szCs w:val="14"/>
                <w:color w:val="auto"/>
              </w:rPr>
              <w:t>10.1</w:t>
            </w:r>
          </w:p>
        </w:tc>
        <w:tc>
          <w:tcPr>
            <w:tcW w:w="1400" w:type="dxa"/>
            <w:vAlign w:val="bottom"/>
          </w:tcPr>
          <w:p>
            <w:pPr>
              <w:ind w:left="820"/>
              <w:spacing w:after="0"/>
              <w:rPr>
                <w:sz w:val="20"/>
                <w:szCs w:val="20"/>
                <w:color w:val="auto"/>
              </w:rPr>
            </w:pPr>
            <w:r>
              <w:rPr>
                <w:rFonts w:ascii="Arial" w:cs="Arial" w:eastAsia="Arial" w:hAnsi="Arial"/>
                <w:sz w:val="14"/>
                <w:szCs w:val="14"/>
                <w:color w:val="auto"/>
                <w:w w:val="85"/>
              </w:rPr>
              <w:t>June 5, 20</w:t>
            </w:r>
          </w:p>
        </w:tc>
      </w:tr>
      <w:tr>
        <w:trPr>
          <w:trHeight w:val="758"/>
        </w:trPr>
        <w:tc>
          <w:tcPr>
            <w:tcW w:w="920" w:type="dxa"/>
            <w:vAlign w:val="bottom"/>
          </w:tcPr>
          <w:p>
            <w:pPr>
              <w:spacing w:after="0"/>
              <w:rPr>
                <w:sz w:val="20"/>
                <w:szCs w:val="20"/>
                <w:color w:val="auto"/>
              </w:rPr>
            </w:pPr>
            <w:r>
              <w:rPr>
                <w:rFonts w:ascii="Arial" w:cs="Arial" w:eastAsia="Arial" w:hAnsi="Arial"/>
                <w:sz w:val="14"/>
                <w:szCs w:val="14"/>
                <w:color w:val="auto"/>
              </w:rPr>
              <w:t>S-1/A</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100" w:type="dxa"/>
            <w:vAlign w:val="bottom"/>
          </w:tcPr>
          <w:p>
            <w:pPr>
              <w:ind w:left="440"/>
              <w:spacing w:after="0"/>
              <w:rPr>
                <w:sz w:val="20"/>
                <w:szCs w:val="20"/>
                <w:color w:val="auto"/>
              </w:rPr>
            </w:pPr>
            <w:r>
              <w:rPr>
                <w:rFonts w:ascii="Arial" w:cs="Arial" w:eastAsia="Arial" w:hAnsi="Arial"/>
                <w:sz w:val="14"/>
                <w:szCs w:val="14"/>
                <w:color w:val="auto"/>
              </w:rPr>
              <w:t>10.11</w:t>
            </w:r>
          </w:p>
        </w:tc>
        <w:tc>
          <w:tcPr>
            <w:tcW w:w="1400" w:type="dxa"/>
            <w:vAlign w:val="bottom"/>
          </w:tcPr>
          <w:p>
            <w:pPr>
              <w:ind w:left="820"/>
              <w:spacing w:after="0"/>
              <w:rPr>
                <w:sz w:val="20"/>
                <w:szCs w:val="20"/>
                <w:color w:val="auto"/>
              </w:rPr>
            </w:pPr>
            <w:r>
              <w:rPr>
                <w:rFonts w:ascii="Arial" w:cs="Arial" w:eastAsia="Arial" w:hAnsi="Arial"/>
                <w:sz w:val="14"/>
                <w:szCs w:val="14"/>
                <w:color w:val="auto"/>
                <w:w w:val="88"/>
              </w:rPr>
              <w:t>April 8, 20</w:t>
            </w:r>
          </w:p>
        </w:tc>
      </w:tr>
    </w:tbl>
    <w:p>
      <w:pPr>
        <w:sectPr>
          <w:pgSz w:w="11900" w:h="16838" w:orient="portrait"/>
          <w:cols w:equalWidth="0" w:num="2">
            <w:col w:w="5720" w:space="500"/>
            <w:col w:w="5120"/>
          </w:cols>
          <w:pgMar w:left="320" w:top="127" w:right="2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Borders>
              <w:bottom w:val="single" w:sz="8" w:color="0000FF"/>
            </w:tcBorders>
            <w:gridSpan w:val="5"/>
          </w:tcPr>
          <w:p>
            <w:pPr>
              <w:spacing w:after="0"/>
              <w:rPr>
                <w:rFonts w:ascii="Arial" w:cs="Arial" w:eastAsia="Arial" w:hAnsi="Arial"/>
                <w:sz w:val="14"/>
                <w:szCs w:val="14"/>
                <w:color w:val="0000FF"/>
                <w:w w:val="92"/>
              </w:rPr>
            </w:pPr>
            <w:hyperlink w:anchor="page115">
              <w:r>
                <w:rPr>
                  <w:rFonts w:ascii="Arial" w:cs="Arial" w:eastAsia="Arial" w:hAnsi="Arial"/>
                  <w:sz w:val="14"/>
                  <w:szCs w:val="14"/>
                  <w:color w:val="0000FF"/>
                  <w:w w:val="92"/>
                </w:rPr>
                <w:t>Certification of Chief Financial Officer pursuant to Exchange</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980" w:type="dxa"/>
            <w:vAlign w:val="bottom"/>
            <w:gridSpan w:val="9"/>
          </w:tcPr>
          <w:p>
            <w:pPr>
              <w:spacing w:after="0" w:line="111" w:lineRule="exact"/>
              <w:rPr>
                <w:rFonts w:ascii="Arial" w:cs="Arial" w:eastAsia="Arial" w:hAnsi="Arial"/>
                <w:sz w:val="12"/>
                <w:szCs w:val="12"/>
                <w:color w:val="0000FF"/>
              </w:rPr>
            </w:pPr>
            <w:hyperlink w:anchor="page115">
              <w:r>
                <w:rPr>
                  <w:rFonts w:ascii="Arial" w:cs="Arial" w:eastAsia="Arial" w:hAnsi="Arial"/>
                  <w:sz w:val="12"/>
                  <w:szCs w:val="12"/>
                  <w:color w:val="0000FF"/>
                </w:rPr>
                <w:t>Act Rules 13a-14(a) and 15d-14(a), as adopted pursuant to Section 302</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3960" w:type="dxa"/>
            <w:vAlign w:val="bottom"/>
            <w:tcBorders>
              <w:top w:val="single" w:sz="8" w:color="0000FF"/>
            </w:tcBorders>
            <w:gridSpan w:val="8"/>
          </w:tcPr>
          <w:p>
            <w:pPr>
              <w:spacing w:after="0" w:line="111" w:lineRule="exact"/>
              <w:rPr>
                <w:rFonts w:ascii="Arial" w:cs="Arial" w:eastAsia="Arial" w:hAnsi="Arial"/>
                <w:sz w:val="12"/>
                <w:szCs w:val="12"/>
                <w:color w:val="0000FF"/>
              </w:rPr>
            </w:pPr>
            <w:hyperlink w:anchor="page115">
              <w:r>
                <w:rPr>
                  <w:rFonts w:ascii="Arial" w:cs="Arial" w:eastAsia="Arial" w:hAnsi="Arial"/>
                  <w:sz w:val="12"/>
                  <w:szCs w:val="12"/>
                  <w:color w:val="0000FF"/>
                </w:rPr>
                <w:t>of the Sarbanes-Oxley Act of 2002.</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Arial" w:cs="Arial" w:eastAsia="Arial" w:hAnsi="Arial"/>
                <w:sz w:val="14"/>
                <w:szCs w:val="14"/>
                <w:color w:val="auto"/>
              </w:rPr>
              <w:t>32.1†</w:t>
            </w:r>
          </w:p>
        </w:tc>
        <w:tc>
          <w:tcPr>
            <w:tcW w:w="460" w:type="dxa"/>
            <w:vAlign w:val="bottom"/>
            <w:gridSpan w:val="2"/>
            <w:vMerge w:val="restart"/>
          </w:tcPr>
          <w:p>
            <w:pPr>
              <w:spacing w:after="0"/>
              <w:rPr>
                <w:rFonts w:ascii="Arial" w:cs="Arial" w:eastAsia="Arial" w:hAnsi="Arial"/>
                <w:sz w:val="14"/>
                <w:szCs w:val="14"/>
                <w:color w:val="0000FF"/>
              </w:rPr>
            </w:pPr>
            <w:hyperlink w:anchor="page116">
              <w:r>
                <w:rPr>
                  <w:rFonts w:ascii="Arial" w:cs="Arial" w:eastAsia="Arial" w:hAnsi="Arial"/>
                  <w:sz w:val="14"/>
                  <w:szCs w:val="14"/>
                  <w:color w:val="0000FF"/>
                </w:rPr>
                <w:t>Officer</w:t>
              </w:r>
            </w:hyperlink>
          </w:p>
        </w:tc>
        <w:tc>
          <w:tcPr>
            <w:tcW w:w="3520" w:type="dxa"/>
            <w:vAlign w:val="bottom"/>
            <w:gridSpan w:val="7"/>
          </w:tcPr>
          <w:p>
            <w:pPr>
              <w:spacing w:after="0"/>
              <w:rPr>
                <w:rFonts w:ascii="Arial" w:cs="Arial" w:eastAsia="Arial" w:hAnsi="Arial"/>
                <w:sz w:val="14"/>
                <w:szCs w:val="14"/>
                <w:color w:val="0000FF"/>
                <w:w w:val="95"/>
              </w:rPr>
            </w:pPr>
            <w:hyperlink w:anchor="page116">
              <w:r>
                <w:rPr>
                  <w:rFonts w:ascii="Arial" w:cs="Arial" w:eastAsia="Arial" w:hAnsi="Arial"/>
                  <w:sz w:val="14"/>
                  <w:szCs w:val="14"/>
                  <w:color w:val="0000FF"/>
                  <w:w w:val="95"/>
                </w:rPr>
                <w:t>Certifications of Chief Executive Officer and Chief Financial</w:t>
              </w:r>
            </w:hyperlink>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3420" w:type="dxa"/>
            <w:vAlign w:val="bottom"/>
            <w:tcBorders>
              <w:top w:val="single" w:sz="8" w:color="0000FF"/>
            </w:tcBorders>
            <w:gridSpan w:val="4"/>
          </w:tcPr>
          <w:p>
            <w:pPr>
              <w:spacing w:after="0" w:line="111" w:lineRule="exact"/>
              <w:rPr>
                <w:rFonts w:ascii="Arial" w:cs="Arial" w:eastAsia="Arial" w:hAnsi="Arial"/>
                <w:sz w:val="12"/>
                <w:szCs w:val="12"/>
                <w:color w:val="0000FF"/>
              </w:rPr>
            </w:pPr>
            <w:hyperlink w:anchor="page116">
              <w:r>
                <w:rPr>
                  <w:rFonts w:ascii="Arial" w:cs="Arial" w:eastAsia="Arial" w:hAnsi="Arial"/>
                  <w:sz w:val="12"/>
                  <w:szCs w:val="12"/>
                  <w:color w:val="0000FF"/>
                </w:rPr>
                <w:t>pursuant to 18 U.S.C. Section 1350, as adopted pursuant to</w:t>
              </w:r>
            </w:hyperlink>
          </w:p>
        </w:tc>
        <w:tc>
          <w:tcPr>
            <w:tcW w:w="1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bottom w:val="single" w:sz="8" w:color="0000FF"/>
            </w:tcBorders>
            <w:gridSpan w:val="3"/>
          </w:tcPr>
          <w:p>
            <w:pPr>
              <w:spacing w:after="0" w:line="111" w:lineRule="exact"/>
              <w:rPr>
                <w:rFonts w:ascii="Arial" w:cs="Arial" w:eastAsia="Arial" w:hAnsi="Arial"/>
                <w:sz w:val="12"/>
                <w:szCs w:val="12"/>
                <w:color w:val="0000FF"/>
              </w:rPr>
            </w:pPr>
            <w:hyperlink w:anchor="page116">
              <w:r>
                <w:rPr>
                  <w:rFonts w:ascii="Arial" w:cs="Arial" w:eastAsia="Arial" w:hAnsi="Arial"/>
                  <w:sz w:val="12"/>
                  <w:szCs w:val="12"/>
                  <w:color w:val="0000FF"/>
                </w:rPr>
                <w:t>Section 906 of the Sarbanes-Oxley Act of 2002.</w:t>
              </w:r>
            </w:hyperlink>
          </w:p>
        </w:tc>
        <w:tc>
          <w:tcPr>
            <w:tcW w:w="1040" w:type="dxa"/>
            <w:vAlign w:val="bottom"/>
            <w:tcBorders>
              <w:top w:val="single" w:sz="8" w:color="0000FF"/>
            </w:tcBorders>
          </w:tcPr>
          <w:p>
            <w:pPr>
              <w:spacing w:after="0"/>
              <w:rPr>
                <w:sz w:val="9"/>
                <w:szCs w:val="9"/>
                <w:color w:val="auto"/>
              </w:rPr>
            </w:pPr>
          </w:p>
        </w:tc>
        <w:tc>
          <w:tcPr>
            <w:tcW w:w="26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w w:val="94"/>
              </w:rPr>
              <w:t>XBRL Taxonomy Extension Calculation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w w:val="96"/>
              </w:rPr>
              <w:t>XBRL Taxonomy Extension Definition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gridSpan w:val="7"/>
          </w:tcPr>
          <w:p>
            <w:pPr>
              <w:spacing w:after="0"/>
              <w:rPr>
                <w:sz w:val="20"/>
                <w:szCs w:val="20"/>
                <w:color w:val="auto"/>
              </w:rPr>
            </w:pPr>
            <w:r>
              <w:rPr>
                <w:rFonts w:ascii="Arial" w:cs="Arial" w:eastAsia="Arial" w:hAnsi="Arial"/>
                <w:sz w:val="14"/>
                <w:szCs w:val="14"/>
                <w:color w:val="auto"/>
                <w:w w:val="91"/>
              </w:rPr>
              <w:t>XBRL Taxonomy Extension Presentation Linkbase Document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120" w:hanging="1157"/>
        <w:spacing w:after="0"/>
        <w:tabs>
          <w:tab w:leader="none" w:pos="21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w:t>
      </w:r>
    </w:p>
    <w:p>
      <w:pPr>
        <w:spacing w:after="0" w:line="217" w:lineRule="exact"/>
        <w:rPr>
          <w:rFonts w:ascii="Arial" w:cs="Arial" w:eastAsia="Arial" w:hAnsi="Arial"/>
          <w:sz w:val="14"/>
          <w:szCs w:val="14"/>
          <w:color w:val="auto"/>
        </w:rPr>
      </w:pPr>
    </w:p>
    <w:p>
      <w:pPr>
        <w:ind w:left="220" w:hanging="215"/>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00" w:lineRule="exact"/>
        <w:rPr>
          <w:sz w:val="20"/>
          <w:szCs w:val="20"/>
          <w:color w:val="auto"/>
        </w:rPr>
      </w:pPr>
    </w:p>
    <w:p>
      <w:pPr>
        <w:ind w:left="640" w:hanging="635"/>
        <w:spacing w:after="0" w:line="246" w:lineRule="auto"/>
        <w:tabs>
          <w:tab w:leader="none" w:pos="24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Financial Statement Schedules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II: Valuation and Qualifying Accounts</w:t>
      </w:r>
    </w:p>
    <w:p>
      <w:pPr>
        <w:spacing w:after="0" w:line="12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table below details the activity of the accounts receivable allowances and deferred tax asset valuation allowance for the fiscal years ended January 31, 2022, 2021, and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360"/>
              <w:spacing w:after="0"/>
              <w:rPr>
                <w:sz w:val="20"/>
                <w:szCs w:val="20"/>
                <w:color w:val="auto"/>
              </w:rPr>
            </w:pPr>
            <w:r>
              <w:rPr>
                <w:rFonts w:ascii="Arial" w:cs="Arial" w:eastAsia="Arial" w:hAnsi="Arial"/>
                <w:sz w:val="14"/>
                <w:szCs w:val="14"/>
                <w:b w:val="1"/>
                <w:bCs w:val="1"/>
                <w:color w:val="auto"/>
              </w:rPr>
              <w:t>Balance at</w:t>
            </w:r>
          </w:p>
        </w:tc>
        <w:tc>
          <w:tcPr>
            <w:tcW w:w="380" w:type="dxa"/>
            <w:vAlign w:val="bottom"/>
          </w:tcPr>
          <w:p>
            <w:pPr>
              <w:spacing w:after="0"/>
              <w:rPr>
                <w:sz w:val="14"/>
                <w:szCs w:val="14"/>
                <w:color w:val="auto"/>
              </w:rPr>
            </w:pPr>
          </w:p>
        </w:tc>
        <w:tc>
          <w:tcPr>
            <w:tcW w:w="1540" w:type="dxa"/>
            <w:vAlign w:val="bottom"/>
            <w:vMerge w:val="restart"/>
          </w:tcPr>
          <w:p>
            <w:pPr>
              <w:jc w:val="right"/>
              <w:ind w:right="603"/>
              <w:spacing w:after="0"/>
              <w:rPr>
                <w:sz w:val="20"/>
                <w:szCs w:val="20"/>
                <w:color w:val="auto"/>
              </w:rPr>
            </w:pPr>
            <w:r>
              <w:rPr>
                <w:rFonts w:ascii="Arial" w:cs="Arial" w:eastAsia="Arial" w:hAnsi="Arial"/>
                <w:sz w:val="14"/>
                <w:szCs w:val="14"/>
                <w:b w:val="1"/>
                <w:bCs w:val="1"/>
                <w:color w:val="auto"/>
              </w:rPr>
              <w:t>Additions</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3"/>
              </w:rPr>
              <w:t>Write-offs or Deductions</w:t>
            </w:r>
          </w:p>
        </w:tc>
        <w:tc>
          <w:tcPr>
            <w:tcW w:w="8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right"/>
              <w:ind w:right="58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Beginning of Year</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20" w:type="dxa"/>
            <w:vAlign w:val="bottom"/>
            <w:gridSpan w:val="5"/>
          </w:tcPr>
          <w:p>
            <w:pPr>
              <w:ind w:left="11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2022</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6"/>
                <w:szCs w:val="16"/>
                <w:color w:val="auto"/>
              </w:rPr>
              <w:t>Accounts receivable allowances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36,844</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50,467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(62,615)</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24,696</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335,051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12,605</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Year ended January 31, 2021</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allowances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7,634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36,844</w:t>
            </w:r>
          </w:p>
        </w:tc>
        <w:tc>
          <w:tcPr>
            <w:tcW w:w="0" w:type="dxa"/>
            <w:vAlign w:val="bottom"/>
          </w:tcPr>
          <w:p>
            <w:pPr>
              <w:spacing w:after="0"/>
              <w:rPr>
                <w:sz w:val="1"/>
                <w:szCs w:val="1"/>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36,353</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298,698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tcPr>
          <w:p>
            <w:pPr>
              <w:ind w:left="15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335,051</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2020</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6"/>
                <w:szCs w:val="16"/>
                <w:color w:val="auto"/>
              </w:rPr>
              <w:t>Accounts receivable allowances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
              <w:spacing w:after="0"/>
              <w:rPr>
                <w:sz w:val="20"/>
                <w:szCs w:val="20"/>
                <w:color w:val="auto"/>
              </w:rPr>
            </w:pPr>
            <w:r>
              <w:rPr>
                <w:rFonts w:ascii="Arial" w:cs="Arial" w:eastAsia="Arial" w:hAnsi="Arial"/>
                <w:sz w:val="16"/>
                <w:szCs w:val="16"/>
                <w:color w:val="auto"/>
              </w:rPr>
              <w:t>2,071</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8,583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(3,020)</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asset valuation allowance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7100" w:type="dxa"/>
            <w:vAlign w:val="bottom"/>
            <w:gridSpan w:val="2"/>
          </w:tcPr>
          <w:p>
            <w:pPr>
              <w:ind w:left="2640"/>
              <w:spacing w:after="0"/>
              <w:rPr>
                <w:sz w:val="20"/>
                <w:szCs w:val="20"/>
                <w:color w:val="auto"/>
              </w:rPr>
            </w:pPr>
            <w:r>
              <w:rPr>
                <w:rFonts w:ascii="Arial" w:cs="Arial" w:eastAsia="Arial" w:hAnsi="Arial"/>
                <w:sz w:val="17"/>
                <w:szCs w:val="17"/>
                <w:b w:val="1"/>
                <w:bCs w:val="1"/>
                <w:color w:val="auto"/>
              </w:rPr>
              <w:t>ZOOM VIDEO COMMUNICATIONS, INC.</w:t>
            </w:r>
          </w:p>
        </w:tc>
      </w:tr>
      <w:tr>
        <w:trPr>
          <w:trHeight w:val="471"/>
        </w:trPr>
        <w:tc>
          <w:tcPr>
            <w:tcW w:w="4100" w:type="dxa"/>
            <w:vAlign w:val="bottom"/>
          </w:tcPr>
          <w:p>
            <w:pPr>
              <w:spacing w:after="0"/>
              <w:rPr>
                <w:sz w:val="20"/>
                <w:szCs w:val="20"/>
                <w:color w:val="auto"/>
              </w:rPr>
            </w:pPr>
            <w:r>
              <w:rPr>
                <w:rFonts w:ascii="Arial" w:cs="Arial" w:eastAsia="Arial" w:hAnsi="Arial"/>
                <w:sz w:val="17"/>
                <w:szCs w:val="17"/>
                <w:color w:val="auto"/>
              </w:rPr>
              <w:t>Date: March 7, 2022</w:t>
            </w:r>
          </w:p>
        </w:tc>
        <w:tc>
          <w:tcPr>
            <w:tcW w:w="3160" w:type="dxa"/>
            <w:vAlign w:val="bottom"/>
          </w:tcPr>
          <w:p>
            <w:pPr>
              <w:ind w:left="2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S. Yuan</w:t>
            </w:r>
          </w:p>
        </w:tc>
      </w:tr>
      <w:tr>
        <w:trPr>
          <w:trHeight w:val="215"/>
        </w:trPr>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Eric S. Yuan</w:t>
            </w:r>
          </w:p>
        </w:tc>
      </w:tr>
      <w:tr>
        <w:trPr>
          <w:trHeight w:val="222"/>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222"/>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r>
        <w:trPr>
          <w:trHeight w:val="471"/>
        </w:trPr>
        <w:tc>
          <w:tcPr>
            <w:tcW w:w="4100" w:type="dxa"/>
            <w:vAlign w:val="bottom"/>
          </w:tcPr>
          <w:p>
            <w:pPr>
              <w:spacing w:after="0"/>
              <w:rPr>
                <w:sz w:val="20"/>
                <w:szCs w:val="20"/>
                <w:color w:val="auto"/>
              </w:rPr>
            </w:pPr>
            <w:r>
              <w:rPr>
                <w:rFonts w:ascii="Arial" w:cs="Arial" w:eastAsia="Arial" w:hAnsi="Arial"/>
                <w:sz w:val="17"/>
                <w:szCs w:val="17"/>
                <w:color w:val="auto"/>
              </w:rPr>
              <w:t>Date: March 7, 2022</w:t>
            </w:r>
          </w:p>
        </w:tc>
        <w:tc>
          <w:tcPr>
            <w:tcW w:w="3160" w:type="dxa"/>
            <w:vAlign w:val="bottom"/>
          </w:tcPr>
          <w:p>
            <w:pPr>
              <w:ind w:left="2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Kelly Steckelberg</w:t>
            </w:r>
          </w:p>
        </w:tc>
      </w:tr>
      <w:tr>
        <w:trPr>
          <w:trHeight w:val="215"/>
        </w:trPr>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Kelly Steckelberg</w:t>
            </w:r>
          </w:p>
        </w:tc>
      </w:tr>
      <w:tr>
        <w:trPr>
          <w:trHeight w:val="222"/>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22"/>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42" w:lineRule="exact"/>
        <w:rPr>
          <w:sz w:val="20"/>
          <w:szCs w:val="20"/>
          <w:color w:val="auto"/>
        </w:rPr>
      </w:pPr>
    </w:p>
    <w:p>
      <w:pPr>
        <w:jc w:val="both"/>
        <w:ind w:firstLine="427"/>
        <w:spacing w:after="0" w:line="245" w:lineRule="auto"/>
        <w:rPr>
          <w:sz w:val="20"/>
          <w:szCs w:val="20"/>
          <w:color w:val="auto"/>
        </w:rPr>
      </w:pPr>
      <w:r>
        <w:rPr>
          <w:rFonts w:ascii="Arial" w:cs="Arial" w:eastAsia="Arial" w:hAnsi="Arial"/>
          <w:sz w:val="17"/>
          <w:szCs w:val="17"/>
          <w:color w:val="auto"/>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1"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Pursuant to the requirements of the Securities Exchange Act of 1934, this Annual Report on Form 10-K has been signed by the following persons on behalf of the registrant and in the capacities and on the dates indicated.</w:t>
      </w:r>
    </w:p>
    <w:p>
      <w:pPr>
        <w:sectPr>
          <w:pgSz w:w="11900" w:h="16838" w:orient="portrait"/>
          <w:cols w:equalWidth="0" w:num="1">
            <w:col w:w="11240"/>
          </w:cols>
          <w:pgMar w:left="320" w:top="127" w:right="339" w:bottom="1440" w:gutter="0" w:footer="0" w:header="0"/>
        </w:sectPr>
      </w:pPr>
    </w:p>
    <w:p>
      <w:pPr>
        <w:spacing w:after="0" w:line="223"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16510</wp:posOffset>
            </wp:positionV>
            <wp:extent cx="2315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17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4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Eric S. Yuan</w:t>
      </w:r>
    </w:p>
    <w:p>
      <w:pPr>
        <w:spacing w:after="0" w:line="15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33020</wp:posOffset>
            </wp:positionV>
            <wp:extent cx="2315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59"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Kelly Steckelberg</w:t>
      </w:r>
    </w:p>
    <w:p>
      <w:pPr>
        <w:spacing w:after="0" w:line="19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Shane Crehan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33020</wp:posOffset>
            </wp:positionV>
            <wp:extent cx="2315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59"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Shane Crehan</w:t>
      </w:r>
    </w:p>
    <w:p>
      <w:pPr>
        <w:spacing w:after="0" w:line="19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33"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Jonathan Chadwick</w:t>
      </w:r>
    </w:p>
    <w:p>
      <w:pPr>
        <w:spacing w:after="0" w:line="184"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4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Carl M. Eschenbach</w:t>
      </w:r>
    </w:p>
    <w:p>
      <w:pPr>
        <w:spacing w:after="0" w:line="19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4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Peter Gassner</w:t>
      </w:r>
    </w:p>
    <w:p>
      <w:pPr>
        <w:spacing w:after="0" w:line="19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4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Kimberly L. Hammonds</w:t>
      </w:r>
    </w:p>
    <w:p>
      <w:pPr>
        <w:spacing w:after="0" w:line="197"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33"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William R. McDermott</w:t>
      </w:r>
    </w:p>
    <w:p>
      <w:pPr>
        <w:spacing w:after="0" w:line="184" w:lineRule="exact"/>
        <w:rPr>
          <w:sz w:val="20"/>
          <w:szCs w:val="20"/>
          <w:color w:val="auto"/>
        </w:rPr>
      </w:pPr>
    </w:p>
    <w:p>
      <w:pPr>
        <w:jc w:val="center"/>
        <w:ind w:left="1360"/>
        <w:spacing w:after="0"/>
        <w:rPr>
          <w:sz w:val="20"/>
          <w:szCs w:val="20"/>
          <w:color w:val="auto"/>
        </w:rPr>
      </w:pPr>
      <w:r>
        <w:rPr>
          <w:rFonts w:ascii="Arial" w:cs="Arial" w:eastAsia="Arial" w:hAnsi="Arial"/>
          <w:sz w:val="15"/>
          <w:szCs w:val="15"/>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39370</wp:posOffset>
            </wp:positionV>
            <wp:extent cx="2315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5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Herbert Raymond McMaster</w:t>
      </w:r>
    </w:p>
    <w:p>
      <w:pPr>
        <w:spacing w:after="0" w:line="184"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Janet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33"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Janet Napolitano</w:t>
      </w:r>
    </w:p>
    <w:p>
      <w:pPr>
        <w:spacing w:after="0" w:line="184"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33"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Dan Scheinman</w:t>
      </w:r>
    </w:p>
    <w:p>
      <w:pPr>
        <w:spacing w:after="0" w:line="184"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24765</wp:posOffset>
            </wp:positionV>
            <wp:extent cx="2315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p>
      <w:pPr>
        <w:spacing w:after="0" w:line="46" w:lineRule="exact"/>
        <w:rPr>
          <w:sz w:val="20"/>
          <w:szCs w:val="20"/>
          <w:color w:val="auto"/>
        </w:rPr>
      </w:pPr>
    </w:p>
    <w:p>
      <w:pPr>
        <w:jc w:val="center"/>
        <w:ind w:left="1360"/>
        <w:spacing w:after="0"/>
        <w:rPr>
          <w:sz w:val="20"/>
          <w:szCs w:val="20"/>
          <w:color w:val="auto"/>
        </w:rPr>
      </w:pPr>
      <w:r>
        <w:rPr>
          <w:rFonts w:ascii="Arial" w:cs="Arial" w:eastAsia="Arial" w:hAnsi="Arial"/>
          <w:sz w:val="17"/>
          <w:szCs w:val="17"/>
          <w:color w:val="auto"/>
        </w:rPr>
        <w:t>Santiago Subotovsky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0784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President, Chief Executive Officer and Director </w:t>
      </w:r>
      <w:r>
        <w:rPr>
          <w:rFonts w:ascii="Arial" w:cs="Arial" w:eastAsia="Arial" w:hAnsi="Arial"/>
          <w:sz w:val="16"/>
          <w:szCs w:val="16"/>
          <w:i w:val="1"/>
          <w:iCs w:val="1"/>
          <w:color w:val="auto"/>
        </w:rPr>
        <w:t>(Principal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Officer)</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Chief Financial Officer </w:t>
      </w: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Chief Accounting Officer </w:t>
      </w:r>
      <w:r>
        <w:rPr>
          <w:rFonts w:ascii="Arial" w:cs="Arial" w:eastAsia="Arial" w:hAnsi="Arial"/>
          <w:sz w:val="16"/>
          <w:szCs w:val="16"/>
          <w:i w:val="1"/>
          <w:iCs w:val="1"/>
          <w:color w:val="auto"/>
        </w:rPr>
        <w:t>(Principal Accounting Officer)</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16510</wp:posOffset>
            </wp:positionV>
            <wp:extent cx="14141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484" w:lineRule="exact"/>
        <w:rPr>
          <w:sz w:val="20"/>
          <w:szCs w:val="20"/>
          <w:color w:val="auto"/>
        </w:rPr>
      </w:pPr>
    </w:p>
    <w:p>
      <w:pPr>
        <w:sectPr>
          <w:pgSz w:w="11900" w:h="16838" w:orient="portrait"/>
          <w:cols w:equalWidth="0" w:num="3">
            <w:col w:w="3580" w:space="600"/>
            <w:col w:w="5200" w:space="720"/>
            <w:col w:w="11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320" w:top="127" w:right="3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THE REGISTRANT’S SECURITIES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REGISTERED PURSUANT TO SECTION 12 OF THE</w:t>
      </w: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18" w:lineRule="exact"/>
        <w:rPr>
          <w:sz w:val="20"/>
          <w:szCs w:val="20"/>
          <w:color w:val="auto"/>
        </w:rPr>
      </w:pPr>
    </w:p>
    <w:p>
      <w:pPr>
        <w:jc w:val="both"/>
        <w:ind w:firstLine="427"/>
        <w:spacing w:after="0" w:line="236" w:lineRule="auto"/>
        <w:rPr>
          <w:sz w:val="20"/>
          <w:szCs w:val="20"/>
          <w:color w:val="auto"/>
        </w:rPr>
      </w:pPr>
      <w:r>
        <w:rPr>
          <w:rFonts w:ascii="Arial" w:cs="Arial" w:eastAsia="Arial" w:hAnsi="Arial"/>
          <w:sz w:val="21"/>
          <w:szCs w:val="21"/>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206" w:lineRule="exact"/>
        <w:rPr>
          <w:sz w:val="20"/>
          <w:szCs w:val="20"/>
          <w:color w:val="auto"/>
        </w:rPr>
      </w:pPr>
    </w:p>
    <w:p>
      <w:pPr>
        <w:jc w:val="both"/>
        <w:ind w:firstLine="427"/>
        <w:spacing w:after="0" w:line="246" w:lineRule="auto"/>
        <w:rPr>
          <w:sz w:val="20"/>
          <w:szCs w:val="20"/>
          <w:color w:val="auto"/>
        </w:rPr>
      </w:pPr>
      <w:r>
        <w:rPr>
          <w:rFonts w:ascii="Arial" w:cs="Arial" w:eastAsia="Arial" w:hAnsi="Arial"/>
          <w:sz w:val="21"/>
          <w:szCs w:val="21"/>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1"/>
          <w:szCs w:val="21"/>
          <w:color w:val="auto"/>
        </w:rPr>
        <w:t>Our authorized capital stock consists of the following shares, all with a par value of $0.001 per share, of which:</w:t>
      </w:r>
    </w:p>
    <w:p>
      <w:pPr>
        <w:spacing w:after="0" w:line="229" w:lineRule="exact"/>
        <w:rPr>
          <w:sz w:val="20"/>
          <w:szCs w:val="20"/>
          <w:color w:val="auto"/>
        </w:rPr>
      </w:pPr>
    </w:p>
    <w:p>
      <w:pPr>
        <w:ind w:left="760" w:hanging="128"/>
        <w:spacing w:after="0"/>
        <w:tabs>
          <w:tab w:leader="none" w:pos="7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2,000,000,000 shares are designated as Class A common stock;</w:t>
      </w:r>
    </w:p>
    <w:p>
      <w:pPr>
        <w:spacing w:after="0" w:line="242" w:lineRule="exact"/>
        <w:rPr>
          <w:rFonts w:ascii="Arial" w:cs="Arial" w:eastAsia="Arial" w:hAnsi="Arial"/>
          <w:sz w:val="21"/>
          <w:szCs w:val="21"/>
          <w:color w:val="auto"/>
        </w:rPr>
      </w:pPr>
    </w:p>
    <w:p>
      <w:pPr>
        <w:ind w:left="760" w:hanging="128"/>
        <w:spacing w:after="0"/>
        <w:tabs>
          <w:tab w:leader="none" w:pos="7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300,000,000 shares are designated as Class B common stock; and</w:t>
      </w:r>
    </w:p>
    <w:p>
      <w:pPr>
        <w:spacing w:after="0" w:line="242" w:lineRule="exact"/>
        <w:rPr>
          <w:rFonts w:ascii="Arial" w:cs="Arial" w:eastAsia="Arial" w:hAnsi="Arial"/>
          <w:sz w:val="21"/>
          <w:szCs w:val="21"/>
          <w:color w:val="auto"/>
        </w:rPr>
      </w:pPr>
    </w:p>
    <w:p>
      <w:pPr>
        <w:ind w:left="760" w:hanging="128"/>
        <w:spacing w:after="0"/>
        <w:tabs>
          <w:tab w:leader="none" w:pos="7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200,000,000 shares are designated as preferred stock.</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Class A and Class B Common Stock</w:t>
      </w:r>
    </w:p>
    <w:p>
      <w:pPr>
        <w:spacing w:after="0" w:line="235"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9"/>
          <w:szCs w:val="19"/>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Voting Rights</w:t>
      </w:r>
    </w:p>
    <w:p>
      <w:pPr>
        <w:spacing w:after="0" w:line="229"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9"/>
          <w:szCs w:val="19"/>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40"/>
          </w:cols>
          <w:pgMar w:left="320" w:top="146" w:right="339" w:bottom="1440" w:gutter="0" w:footer="0" w:header="0"/>
        </w:sectPr>
      </w:pPr>
    </w:p>
    <w:bookmarkStart w:id="100" w:name="page101"/>
    <w:bookmarkEnd w:id="100"/>
    <w:p>
      <w:pPr>
        <w:jc w:val="both"/>
        <w:spacing w:after="0" w:line="258" w:lineRule="auto"/>
        <w:rPr>
          <w:sz w:val="20"/>
          <w:szCs w:val="20"/>
          <w:color w:val="auto"/>
        </w:rPr>
      </w:pPr>
      <w:r>
        <w:rPr>
          <w:rFonts w:ascii="Arial" w:cs="Arial" w:eastAsia="Arial" w:hAnsi="Arial"/>
          <w:sz w:val="21"/>
          <w:szCs w:val="21"/>
          <w:color w:val="auto"/>
        </w:rPr>
        <w:t>Class A common stock or amend our certificate of incorporation to alter the powers, preferences or special rights of the common stock as a whole in a way that would adversely affect the holders of our Class A common stock.</w:t>
      </w:r>
    </w:p>
    <w:p>
      <w:pPr>
        <w:spacing w:after="0" w:line="187" w:lineRule="exact"/>
        <w:rPr>
          <w:sz w:val="20"/>
          <w:szCs w:val="20"/>
          <w:color w:val="auto"/>
        </w:rPr>
      </w:pPr>
    </w:p>
    <w:p>
      <w:pPr>
        <w:jc w:val="both"/>
        <w:ind w:firstLine="427"/>
        <w:spacing w:after="0" w:line="250" w:lineRule="auto"/>
        <w:rPr>
          <w:sz w:val="20"/>
          <w:szCs w:val="20"/>
          <w:color w:val="auto"/>
        </w:rPr>
      </w:pPr>
      <w:r>
        <w:rPr>
          <w:rFonts w:ascii="Arial" w:cs="Arial" w:eastAsia="Arial" w:hAnsi="Arial"/>
          <w:sz w:val="20"/>
          <w:szCs w:val="20"/>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201" w:lineRule="exact"/>
        <w:rPr>
          <w:sz w:val="20"/>
          <w:szCs w:val="20"/>
          <w:color w:val="auto"/>
        </w:rPr>
      </w:pPr>
    </w:p>
    <w:p>
      <w:pPr>
        <w:jc w:val="both"/>
        <w:ind w:firstLine="427"/>
        <w:spacing w:after="0" w:line="250" w:lineRule="auto"/>
        <w:rPr>
          <w:sz w:val="20"/>
          <w:szCs w:val="20"/>
          <w:color w:val="auto"/>
        </w:rPr>
      </w:pPr>
      <w:r>
        <w:rPr>
          <w:rFonts w:ascii="Arial" w:cs="Arial" w:eastAsia="Arial" w:hAnsi="Arial"/>
          <w:sz w:val="20"/>
          <w:szCs w:val="20"/>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Our amended and restated certificate of incorporation does not provide for cumulative voting for the election of directors.</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Dividend Rights</w:t>
      </w:r>
    </w:p>
    <w:p>
      <w:pPr>
        <w:spacing w:after="0" w:line="22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9"/>
          <w:szCs w:val="19"/>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40"/>
          </w:cols>
          <w:pgMar w:left="320" w:top="1373" w:right="339" w:bottom="1440" w:gutter="0" w:footer="0" w:header="0"/>
        </w:sectPr>
      </w:pPr>
    </w:p>
    <w:bookmarkStart w:id="101" w:name="page102"/>
    <w:bookmarkEnd w:id="101"/>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Right to Receive Liquidation Distributions</w:t>
      </w:r>
    </w:p>
    <w:p>
      <w:pPr>
        <w:spacing w:after="0" w:line="229" w:lineRule="exact"/>
        <w:rPr>
          <w:sz w:val="20"/>
          <w:szCs w:val="20"/>
          <w:color w:val="auto"/>
        </w:rPr>
      </w:pPr>
    </w:p>
    <w:p>
      <w:pPr>
        <w:jc w:val="both"/>
        <w:ind w:firstLine="427"/>
        <w:spacing w:after="0" w:line="249" w:lineRule="auto"/>
        <w:rPr>
          <w:sz w:val="20"/>
          <w:szCs w:val="20"/>
          <w:color w:val="auto"/>
        </w:rPr>
      </w:pPr>
      <w:r>
        <w:rPr>
          <w:rFonts w:ascii="Arial" w:cs="Arial" w:eastAsia="Arial" w:hAnsi="Arial"/>
          <w:sz w:val="20"/>
          <w:szCs w:val="20"/>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Subdivisions and Combinations</w:t>
      </w:r>
    </w:p>
    <w:p>
      <w:pPr>
        <w:spacing w:after="0" w:line="229"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9"/>
          <w:szCs w:val="19"/>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w:t>
      </w:r>
    </w:p>
    <w:p>
      <w:pPr>
        <w:spacing w:after="0" w:line="1" w:lineRule="exact"/>
        <w:rPr>
          <w:sz w:val="20"/>
          <w:szCs w:val="20"/>
          <w:color w:val="auto"/>
        </w:rPr>
      </w:pPr>
    </w:p>
    <w:p>
      <w:pPr>
        <w:ind w:left="140" w:hanging="135"/>
        <w:spacing w:after="0"/>
        <w:tabs>
          <w:tab w:leader="none" w:pos="1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class.</w:t>
      </w:r>
    </w:p>
    <w:p>
      <w:pPr>
        <w:spacing w:after="0" w:line="210" w:lineRule="exact"/>
        <w:rPr>
          <w:rFonts w:ascii="Arial" w:cs="Arial" w:eastAsia="Arial" w:hAnsi="Arial"/>
          <w:sz w:val="21"/>
          <w:szCs w:val="21"/>
          <w:color w:val="auto"/>
        </w:rPr>
      </w:pPr>
    </w:p>
    <w:p>
      <w:pPr>
        <w:ind w:left="440"/>
        <w:spacing w:after="0"/>
        <w:rPr>
          <w:rFonts w:ascii="Arial" w:cs="Arial" w:eastAsia="Arial" w:hAnsi="Arial"/>
          <w:sz w:val="21"/>
          <w:szCs w:val="21"/>
          <w:color w:val="auto"/>
        </w:rPr>
      </w:pPr>
      <w:r>
        <w:rPr>
          <w:rFonts w:ascii="Arial" w:cs="Arial" w:eastAsia="Arial" w:hAnsi="Arial"/>
          <w:sz w:val="21"/>
          <w:szCs w:val="21"/>
          <w:b w:val="1"/>
          <w:bCs w:val="1"/>
          <w:i w:val="1"/>
          <w:iCs w:val="1"/>
          <w:color w:val="auto"/>
        </w:rPr>
        <w:t>Conversion</w:t>
      </w:r>
    </w:p>
    <w:p>
      <w:pPr>
        <w:spacing w:after="0" w:line="22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9"/>
          <w:szCs w:val="19"/>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Other Matters</w:t>
      </w:r>
    </w:p>
    <w:p>
      <w:pPr>
        <w:spacing w:after="0" w:line="229"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21"/>
          <w:szCs w:val="21"/>
          <w:color w:val="auto"/>
        </w:rPr>
        <w:t>The Class A common stock and Class B common stock have no preemptive rights pursuant to the terms of our amended and restated certificate of incorporation and our amended and</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58" w:lineRule="auto"/>
        <w:rPr>
          <w:sz w:val="20"/>
          <w:szCs w:val="20"/>
          <w:color w:val="auto"/>
        </w:rPr>
      </w:pPr>
      <w:r>
        <w:rPr>
          <w:rFonts w:ascii="Arial" w:cs="Arial" w:eastAsia="Arial" w:hAnsi="Arial"/>
          <w:sz w:val="21"/>
          <w:szCs w:val="21"/>
          <w:color w:val="auto"/>
        </w:rPr>
        <w:t>restated bylaws. There are no redemption or sinking fund provisions applicable to the Class A common stock and Class B common stock. All outstanding shares of our Class A common stock are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235" w:lineRule="exact"/>
        <w:rPr>
          <w:sz w:val="20"/>
          <w:szCs w:val="20"/>
          <w:color w:val="auto"/>
        </w:rPr>
      </w:pPr>
    </w:p>
    <w:p>
      <w:pPr>
        <w:jc w:val="both"/>
        <w:ind w:firstLine="427"/>
        <w:spacing w:after="0" w:line="250" w:lineRule="auto"/>
        <w:rPr>
          <w:sz w:val="20"/>
          <w:szCs w:val="20"/>
          <w:color w:val="auto"/>
        </w:rPr>
      </w:pPr>
      <w:r>
        <w:rPr>
          <w:rFonts w:ascii="Arial" w:cs="Arial" w:eastAsia="Arial" w:hAnsi="Arial"/>
          <w:sz w:val="20"/>
          <w:szCs w:val="20"/>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Delaware Law and Our Certificate of Incorporation and Bylaws</w:t>
      </w:r>
    </w:p>
    <w:p>
      <w:pPr>
        <w:spacing w:after="0" w:line="235" w:lineRule="exact"/>
        <w:rPr>
          <w:sz w:val="20"/>
          <w:szCs w:val="20"/>
          <w:color w:val="auto"/>
        </w:rPr>
      </w:pPr>
    </w:p>
    <w:p>
      <w:pPr>
        <w:jc w:val="both"/>
        <w:ind w:firstLine="427"/>
        <w:spacing w:after="0" w:line="238" w:lineRule="auto"/>
        <w:rPr>
          <w:sz w:val="20"/>
          <w:szCs w:val="20"/>
          <w:color w:val="auto"/>
        </w:rPr>
      </w:pPr>
      <w:r>
        <w:rPr>
          <w:rFonts w:ascii="Arial" w:cs="Arial" w:eastAsia="Arial" w:hAnsi="Arial"/>
          <w:sz w:val="21"/>
          <w:szCs w:val="21"/>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10"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Dual Class Stock</w:t>
      </w:r>
    </w:p>
    <w:p>
      <w:pPr>
        <w:spacing w:after="0" w:line="229" w:lineRule="exact"/>
        <w:rPr>
          <w:sz w:val="20"/>
          <w:szCs w:val="20"/>
          <w:color w:val="auto"/>
        </w:rPr>
      </w:pPr>
    </w:p>
    <w:p>
      <w:pPr>
        <w:jc w:val="both"/>
        <w:ind w:firstLine="427"/>
        <w:spacing w:after="0" w:line="242" w:lineRule="auto"/>
        <w:rPr>
          <w:sz w:val="20"/>
          <w:szCs w:val="20"/>
          <w:color w:val="auto"/>
        </w:rPr>
      </w:pPr>
      <w:r>
        <w:rPr>
          <w:rFonts w:ascii="Arial" w:cs="Arial" w:eastAsia="Arial" w:hAnsi="Arial"/>
          <w:sz w:val="21"/>
          <w:szCs w:val="21"/>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40"/>
          </w:cols>
          <w:pgMar w:left="320" w:top="1373" w:right="339" w:bottom="1440" w:gutter="0" w:footer="0" w:header="0"/>
        </w:sectPr>
      </w:pPr>
    </w:p>
    <w:bookmarkStart w:id="103" w:name="page104"/>
    <w:bookmarkEnd w:id="103"/>
    <w:p>
      <w:pPr>
        <w:spacing w:after="0" w:line="168"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Stockholder Meetings</w:t>
      </w:r>
    </w:p>
    <w:p>
      <w:pPr>
        <w:spacing w:after="0" w:line="229"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21"/>
          <w:szCs w:val="21"/>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ind w:firstLine="427"/>
        <w:spacing w:after="0" w:line="246" w:lineRule="auto"/>
        <w:rPr>
          <w:sz w:val="20"/>
          <w:szCs w:val="20"/>
          <w:color w:val="auto"/>
        </w:rPr>
      </w:pPr>
      <w:r>
        <w:rPr>
          <w:rFonts w:ascii="Arial" w:cs="Arial" w:eastAsia="Arial" w:hAnsi="Arial"/>
          <w:sz w:val="21"/>
          <w:szCs w:val="21"/>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Elimination of Stockholder Action by Written Consent</w:t>
      </w:r>
    </w:p>
    <w:p>
      <w:pPr>
        <w:spacing w:after="0" w:line="229"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21"/>
          <w:szCs w:val="21"/>
          <w:color w:val="auto"/>
        </w:rPr>
        <w:t>Our amended and restated certificate of incorporation and amended and restated bylaws eliminate the right of stockholders to act by written consent without a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Staggered Board</w:t>
      </w:r>
    </w:p>
    <w:p>
      <w:pPr>
        <w:spacing w:after="0" w:line="229" w:lineRule="exact"/>
        <w:rPr>
          <w:sz w:val="20"/>
          <w:szCs w:val="20"/>
          <w:color w:val="auto"/>
        </w:rPr>
      </w:pPr>
    </w:p>
    <w:p>
      <w:pPr>
        <w:jc w:val="both"/>
        <w:ind w:firstLine="427"/>
        <w:spacing w:after="0" w:line="242" w:lineRule="auto"/>
        <w:rPr>
          <w:sz w:val="20"/>
          <w:szCs w:val="20"/>
          <w:color w:val="auto"/>
        </w:rPr>
      </w:pPr>
      <w:r>
        <w:rPr>
          <w:rFonts w:ascii="Arial" w:cs="Arial" w:eastAsia="Arial" w:hAnsi="Arial"/>
          <w:sz w:val="21"/>
          <w:szCs w:val="21"/>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Removal of Directors</w:t>
      </w:r>
    </w:p>
    <w:p>
      <w:pPr>
        <w:spacing w:after="0" w:line="229" w:lineRule="exact"/>
        <w:rPr>
          <w:sz w:val="20"/>
          <w:szCs w:val="20"/>
          <w:color w:val="auto"/>
        </w:rPr>
      </w:pPr>
    </w:p>
    <w:p>
      <w:pPr>
        <w:jc w:val="both"/>
        <w:ind w:firstLine="427"/>
        <w:spacing w:after="0" w:line="284"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Stockholders Not Entitled to Cumulative Voting</w:t>
      </w:r>
    </w:p>
    <w:p>
      <w:pPr>
        <w:spacing w:after="0" w:line="229" w:lineRule="exact"/>
        <w:rPr>
          <w:sz w:val="20"/>
          <w:szCs w:val="20"/>
          <w:color w:val="auto"/>
        </w:rPr>
      </w:pPr>
    </w:p>
    <w:p>
      <w:pPr>
        <w:jc w:val="both"/>
        <w:ind w:firstLine="427"/>
        <w:spacing w:after="0" w:line="242" w:lineRule="auto"/>
        <w:rPr>
          <w:sz w:val="20"/>
          <w:szCs w:val="20"/>
          <w:color w:val="auto"/>
        </w:rPr>
      </w:pPr>
      <w:r>
        <w:rPr>
          <w:rFonts w:ascii="Arial" w:cs="Arial" w:eastAsia="Arial" w:hAnsi="Arial"/>
          <w:sz w:val="21"/>
          <w:szCs w:val="21"/>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Delaware Anti-Takeover Statute</w:t>
      </w:r>
    </w:p>
    <w:p>
      <w:pPr>
        <w:spacing w:after="0" w:line="229" w:lineRule="exact"/>
        <w:rPr>
          <w:sz w:val="20"/>
          <w:szCs w:val="20"/>
          <w:color w:val="auto"/>
        </w:rPr>
      </w:pPr>
    </w:p>
    <w:p>
      <w:pPr>
        <w:jc w:val="both"/>
        <w:ind w:firstLine="427"/>
        <w:spacing w:after="0" w:line="246" w:lineRule="auto"/>
        <w:rPr>
          <w:sz w:val="20"/>
          <w:szCs w:val="20"/>
          <w:color w:val="auto"/>
        </w:rPr>
      </w:pPr>
      <w:r>
        <w:rPr>
          <w:rFonts w:ascii="Arial" w:cs="Arial" w:eastAsia="Arial" w:hAnsi="Arial"/>
          <w:sz w:val="21"/>
          <w:szCs w:val="21"/>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w:t>
      </w:r>
    </w:p>
    <w:p>
      <w:pPr>
        <w:sectPr>
          <w:pgSz w:w="11900" w:h="16838" w:orient="portrait"/>
          <w:cols w:equalWidth="0" w:num="1">
            <w:col w:w="11240"/>
          </w:cols>
          <w:pgMar w:left="320" w:top="1440" w:right="339" w:bottom="1440" w:gutter="0" w:footer="0" w:header="0"/>
        </w:sectPr>
      </w:pPr>
    </w:p>
    <w:bookmarkStart w:id="104" w:name="page105"/>
    <w:bookmarkEnd w:id="104"/>
    <w:p>
      <w:pPr>
        <w:jc w:val="both"/>
        <w:spacing w:after="0" w:line="268" w:lineRule="auto"/>
        <w:rPr>
          <w:sz w:val="20"/>
          <w:szCs w:val="20"/>
          <w:color w:val="auto"/>
        </w:rPr>
      </w:pPr>
      <w:r>
        <w:rPr>
          <w:rFonts w:ascii="Arial" w:cs="Arial" w:eastAsia="Arial" w:hAnsi="Arial"/>
          <w:sz w:val="19"/>
          <w:szCs w:val="19"/>
          <w:color w:val="auto"/>
        </w:rPr>
        <w:t>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Choice of Forum</w:t>
      </w:r>
    </w:p>
    <w:p>
      <w:pPr>
        <w:spacing w:after="0" w:line="229" w:lineRule="exact"/>
        <w:rPr>
          <w:sz w:val="20"/>
          <w:szCs w:val="20"/>
          <w:color w:val="auto"/>
        </w:rPr>
      </w:pPr>
    </w:p>
    <w:p>
      <w:pPr>
        <w:jc w:val="both"/>
        <w:ind w:firstLine="427"/>
        <w:spacing w:after="0" w:line="248" w:lineRule="auto"/>
        <w:rPr>
          <w:sz w:val="20"/>
          <w:szCs w:val="20"/>
          <w:color w:val="auto"/>
        </w:rPr>
      </w:pPr>
      <w:r>
        <w:rPr>
          <w:rFonts w:ascii="Arial" w:cs="Arial" w:eastAsia="Arial" w:hAnsi="Arial"/>
          <w:sz w:val="20"/>
          <w:szCs w:val="20"/>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1"/>
          <w:szCs w:val="21"/>
          <w:b w:val="1"/>
          <w:bCs w:val="1"/>
          <w:i w:val="1"/>
          <w:iCs w:val="1"/>
          <w:color w:val="auto"/>
        </w:rPr>
        <w:t>Amendment of Charter Provisions</w:t>
      </w:r>
    </w:p>
    <w:p>
      <w:pPr>
        <w:spacing w:after="0" w:line="229" w:lineRule="exact"/>
        <w:rPr>
          <w:sz w:val="20"/>
          <w:szCs w:val="20"/>
          <w:color w:val="auto"/>
        </w:rPr>
      </w:pPr>
    </w:p>
    <w:p>
      <w:pPr>
        <w:jc w:val="both"/>
        <w:ind w:firstLine="427"/>
        <w:spacing w:after="0" w:line="246" w:lineRule="auto"/>
        <w:rPr>
          <w:sz w:val="20"/>
          <w:szCs w:val="20"/>
          <w:color w:val="auto"/>
        </w:rPr>
      </w:pPr>
      <w:r>
        <w:rPr>
          <w:rFonts w:ascii="Arial" w:cs="Arial" w:eastAsia="Arial" w:hAnsi="Arial"/>
          <w:sz w:val="21"/>
          <w:szCs w:val="21"/>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98" w:lineRule="exact"/>
        <w:rPr>
          <w:sz w:val="20"/>
          <w:szCs w:val="20"/>
          <w:color w:val="auto"/>
        </w:rPr>
      </w:pPr>
    </w:p>
    <w:p>
      <w:pPr>
        <w:jc w:val="both"/>
        <w:ind w:firstLine="427"/>
        <w:spacing w:after="0" w:line="238" w:lineRule="auto"/>
        <w:rPr>
          <w:sz w:val="20"/>
          <w:szCs w:val="20"/>
          <w:color w:val="auto"/>
        </w:rPr>
      </w:pPr>
      <w:r>
        <w:rPr>
          <w:rFonts w:ascii="Arial" w:cs="Arial" w:eastAsia="Arial" w:hAnsi="Arial"/>
          <w:sz w:val="21"/>
          <w:szCs w:val="21"/>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1373" w:right="339" w:bottom="1440" w:gutter="0" w:footer="0" w:header="0"/>
        </w:sectPr>
      </w:pPr>
    </w:p>
    <w:bookmarkStart w:id="105" w:name="page106"/>
    <w:bookmarkEnd w:id="105"/>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35" w:lineRule="exact"/>
        <w:rPr>
          <w:sz w:val="20"/>
          <w:szCs w:val="20"/>
          <w:color w:val="auto"/>
        </w:rPr>
      </w:pPr>
    </w:p>
    <w:p>
      <w:pPr>
        <w:ind w:firstLine="427"/>
        <w:spacing w:after="0" w:line="258" w:lineRule="auto"/>
        <w:rPr>
          <w:sz w:val="20"/>
          <w:szCs w:val="20"/>
          <w:color w:val="auto"/>
        </w:rPr>
      </w:pPr>
      <w:r>
        <w:rPr>
          <w:rFonts w:ascii="Arial" w:cs="Arial" w:eastAsia="Arial" w:hAnsi="Arial"/>
          <w:sz w:val="21"/>
          <w:szCs w:val="21"/>
          <w:color w:val="auto"/>
        </w:rPr>
        <w:t>The transfer agent and registrar for our Class A common stock and Class B common stock is Computershare Trust Company, N.A. The transfer agent and registrar’s address is 250 Royall Street, Canton, Massachusetts 02021.</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Exchange Listing</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Our Class A common stock is listed on The Nasdaq Global Select Market under the symbol “ZM.”</w:t>
      </w:r>
    </w:p>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t>Exhibit 10.21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Zoom Video Communications,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Officer Incentive Plan</w:t>
      </w:r>
    </w:p>
    <w:p>
      <w:pPr>
        <w:spacing w:after="0" w:line="200" w:lineRule="exact"/>
        <w:rPr>
          <w:sz w:val="20"/>
          <w:szCs w:val="20"/>
          <w:color w:val="auto"/>
        </w:rPr>
      </w:pPr>
    </w:p>
    <w:p>
      <w:pPr>
        <w:spacing w:after="0" w:line="211" w:lineRule="exact"/>
        <w:rPr>
          <w:sz w:val="20"/>
          <w:szCs w:val="20"/>
          <w:color w:val="auto"/>
        </w:rPr>
      </w:pPr>
    </w:p>
    <w:p>
      <w:pPr>
        <w:ind w:left="640" w:hanging="635"/>
        <w:spacing w:after="0"/>
        <w:tabs>
          <w:tab w:leader="none" w:pos="64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Purpose</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Zoom Video Communications, Inc. Officer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is designed to provide incentives to participating employees to make important contributions to the success of Zoom Video Communications, Inc. (the “</w:t>
      </w:r>
      <w:r>
        <w:rPr>
          <w:rFonts w:ascii="Arial" w:cs="Arial" w:eastAsia="Arial" w:hAnsi="Arial"/>
          <w:sz w:val="21"/>
          <w:szCs w:val="21"/>
          <w:b w:val="1"/>
          <w:bCs w:val="1"/>
          <w:i w:val="1"/>
          <w:iCs w:val="1"/>
          <w:color w:val="auto"/>
        </w:rPr>
        <w:t>Company</w:t>
      </w:r>
      <w:r>
        <w:rPr>
          <w:rFonts w:ascii="Arial" w:cs="Arial" w:eastAsia="Arial" w:hAnsi="Arial"/>
          <w:sz w:val="21"/>
          <w:szCs w:val="21"/>
          <w:i w:val="1"/>
          <w:iCs w:val="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and reward such employees for outstanding performance. The Plan is also intended to enhance the ability of the Company to attract and retain highly talented individuals.</w:t>
      </w:r>
    </w:p>
    <w:p>
      <w:pPr>
        <w:spacing w:after="0" w:line="170" w:lineRule="exact"/>
        <w:rPr>
          <w:sz w:val="20"/>
          <w:szCs w:val="20"/>
          <w:color w:val="auto"/>
        </w:rPr>
      </w:pPr>
    </w:p>
    <w:p>
      <w:pPr>
        <w:ind w:left="640" w:hanging="635"/>
        <w:spacing w:after="0"/>
        <w:tabs>
          <w:tab w:leader="none" w:pos="64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w:t>
      </w:r>
    </w:p>
    <w:p>
      <w:pPr>
        <w:spacing w:after="0" w:line="22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The Plan will be administered by the Compensation Committee (the “</w:t>
      </w:r>
      <w:r>
        <w:rPr>
          <w:rFonts w:ascii="Arial" w:cs="Arial" w:eastAsia="Arial" w:hAnsi="Arial"/>
          <w:sz w:val="19"/>
          <w:szCs w:val="19"/>
          <w:b w:val="1"/>
          <w:bCs w:val="1"/>
          <w:i w:val="1"/>
          <w:iCs w:val="1"/>
          <w:color w:val="auto"/>
        </w:rPr>
        <w:t>Plan Administrator</w:t>
      </w:r>
      <w:r>
        <w:rPr>
          <w:rFonts w:ascii="Arial" w:cs="Arial" w:eastAsia="Arial" w:hAnsi="Arial"/>
          <w:sz w:val="19"/>
          <w:szCs w:val="19"/>
          <w:color w:val="auto"/>
        </w:rPr>
        <w:t>”)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the Company. The Plan Administrator will have the sole discretion and authority to administer and interpret the Plan, and the decisions of the Plan Administrator will in every case be final and binding on all persons having an interest in the Plan.</w:t>
      </w:r>
    </w:p>
    <w:p>
      <w:pPr>
        <w:spacing w:after="0" w:line="131" w:lineRule="exact"/>
        <w:rPr>
          <w:sz w:val="20"/>
          <w:szCs w:val="20"/>
          <w:color w:val="auto"/>
        </w:rPr>
      </w:pPr>
    </w:p>
    <w:p>
      <w:pPr>
        <w:ind w:left="640" w:hanging="635"/>
        <w:spacing w:after="0"/>
        <w:tabs>
          <w:tab w:leader="none" w:pos="64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w:t>
      </w:r>
    </w:p>
    <w:p>
      <w:pPr>
        <w:spacing w:after="0" w:line="216" w:lineRule="exact"/>
        <w:rPr>
          <w:sz w:val="20"/>
          <w:szCs w:val="20"/>
          <w:color w:val="auto"/>
        </w:rPr>
      </w:pPr>
    </w:p>
    <w:p>
      <w:pPr>
        <w:ind w:left="1260" w:hanging="628"/>
        <w:spacing w:after="0"/>
        <w:tabs>
          <w:tab w:leader="none" w:pos="126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Participation</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Each employee of the Company who (i) is an “officer” of the Company (within the meaning of Section 16 of the Securities Exchange Act of 1934, as amended, and Rule 16a-1 thereunder); and (ii) has a written offer letter or other written agreement with the Company that provides for such employee’s Target Award (as defined in Section 4 below) and eligibility in the Plan or has a written agreement with the Company that provides that such employee is eligible to participate in the Company’s Sales Compensation Plan, is eligible to participate in the Plan and shall be considered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in the Plan. Unless otherwise specified by the Plan Administrator or expressly provided in a written agreement between a Participant and the Company, an individual who commences employment with the Company during an applicable performance period may become a Participant for such performance period, commencing on the date such individual commences employment with the Company (provided such individual meets all other eligibility criteria for participation in the Plan), and will receive a pro-rated Target Award (as defined below) for such initial performance period.</w:t>
      </w:r>
    </w:p>
    <w:p>
      <w:pPr>
        <w:spacing w:after="0" w:line="152" w:lineRule="exact"/>
        <w:rPr>
          <w:sz w:val="20"/>
          <w:szCs w:val="20"/>
          <w:color w:val="auto"/>
        </w:rPr>
      </w:pPr>
    </w:p>
    <w:p>
      <w:pPr>
        <w:ind w:left="1260" w:hanging="628"/>
        <w:spacing w:after="0"/>
        <w:tabs>
          <w:tab w:leader="none" w:pos="126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Awards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Each Participant in a performance period will be granted an award of a contingent right to a future payment under the Plan (an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for such performance period, which will be paid contingent upon achievement of applicable performance goals established by the Plan Administrator for the applicable performance period and earned upon satisfaction of all applicable conditions for earning such Awards.</w:t>
      </w:r>
    </w:p>
    <w:p>
      <w:pPr>
        <w:spacing w:after="0" w:line="170" w:lineRule="exact"/>
        <w:rPr>
          <w:sz w:val="20"/>
          <w:szCs w:val="20"/>
          <w:color w:val="auto"/>
        </w:rPr>
      </w:pPr>
    </w:p>
    <w:p>
      <w:pPr>
        <w:ind w:left="1260" w:hanging="628"/>
        <w:spacing w:after="0"/>
        <w:tabs>
          <w:tab w:leader="none" w:pos="126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Award Payments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order to be eligible to receive payment of an Award, unless otherwise expressly provided by the Plan Administrator or required by applicable law, a Participant must meet the following criteria: (A) continue to be employed with the Company from the date his or her participation in the Plan commences for the applicable performance period through the date the Award is paid; and (B) comply with any rules of the Plan established by the Plan Administrator. If a Participant ceases to be an Officer during a performance period but continues to be an employee through the date the Award is paid and otherwise is eligible to receive payment of an Award, such individual’s Award may be adjusted as determined appropriate by the Plan Administrator. There is no guarantee for any payment of an Award under the Plan. Awards are paid as advances and not earned until no</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244699875 v1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1" w:right="339" w:bottom="1440" w:gutter="0" w:footer="0" w:header="0"/>
        </w:sectPr>
      </w:pPr>
    </w:p>
    <w:bookmarkStart w:id="107" w:name="page108"/>
    <w:bookmarkEnd w:id="107"/>
    <w:p>
      <w:pPr>
        <w:spacing w:after="0" w:line="271" w:lineRule="auto"/>
        <w:rPr>
          <w:sz w:val="20"/>
          <w:szCs w:val="20"/>
          <w:color w:val="auto"/>
        </w:rPr>
      </w:pPr>
      <w:r>
        <w:rPr>
          <w:rFonts w:ascii="Arial" w:cs="Arial" w:eastAsia="Arial" w:hAnsi="Arial"/>
          <w:sz w:val="21"/>
          <w:szCs w:val="21"/>
          <w:color w:val="auto"/>
        </w:rPr>
        <w:t>longer subject to recoupment in accordance with the Clawback Provisions described in Section 6(h) below, unless prohibited by applicable law.</w:t>
      </w:r>
    </w:p>
    <w:p>
      <w:pPr>
        <w:spacing w:after="0" w:line="154" w:lineRule="exact"/>
        <w:rPr>
          <w:sz w:val="20"/>
          <w:szCs w:val="20"/>
          <w:color w:val="auto"/>
        </w:rPr>
      </w:pPr>
    </w:p>
    <w:p>
      <w:pPr>
        <w:ind w:left="640" w:hanging="635"/>
        <w:spacing w:after="0"/>
        <w:tabs>
          <w:tab w:leader="none" w:pos="64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Method for Establishing and Determining Awards</w:t>
      </w:r>
    </w:p>
    <w:p>
      <w:pPr>
        <w:spacing w:after="0" w:line="215" w:lineRule="exact"/>
        <w:rPr>
          <w:rFonts w:ascii="Arial" w:cs="Arial" w:eastAsia="Arial" w:hAnsi="Arial"/>
          <w:sz w:val="21"/>
          <w:szCs w:val="21"/>
          <w:b w:val="1"/>
          <w:bCs w:val="1"/>
          <w:color w:val="auto"/>
        </w:rPr>
      </w:pPr>
    </w:p>
    <w:p>
      <w:pPr>
        <w:ind w:left="1260" w:hanging="628"/>
        <w:spacing w:after="0"/>
        <w:tabs>
          <w:tab w:leader="none" w:pos="1260"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Establishment of Target Awards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For each performance period, each Participant shall have a target award opportunity under the Plan (“</w:t>
      </w:r>
      <w:r>
        <w:rPr>
          <w:rFonts w:ascii="Arial" w:cs="Arial" w:eastAsia="Arial" w:hAnsi="Arial"/>
          <w:sz w:val="19"/>
          <w:szCs w:val="19"/>
          <w:b w:val="1"/>
          <w:bCs w:val="1"/>
          <w:i w:val="1"/>
          <w:iCs w:val="1"/>
          <w:color w:val="auto"/>
        </w:rPr>
        <w:t>Target Award</w:t>
      </w:r>
      <w:r>
        <w:rPr>
          <w:rFonts w:ascii="Arial" w:cs="Arial" w:eastAsia="Arial" w:hAnsi="Arial"/>
          <w:sz w:val="19"/>
          <w:szCs w:val="19"/>
          <w:color w:val="auto"/>
        </w:rPr>
        <w:t>”), expressed in such Participant’s offer letter with the Company or otherwise in writing and approved by the Plan Administrator, as a percentage of such Participant’s Base Salary earned during such performance period, as a set dollar amount or in such other form as specified in writing and approved by the Plan Administrator. The Plan Administrator is not obligated to treat all Plan Participants similarly. For purposes of the Plan, unless otherwise determined by the Plan Administrator,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wages earned by such Participant during the applicable performance period while such individual is a Participant. Base Salary does not include any bonuses, commissions or other incentive compensation, amounts received or otherwise recognized in connection with equity awards, expense reimbursements, relocation payments, overtime or shift differential payments, contributions made by the Company under any employee benefit plan, the value of any employee benefits or perquisites paid for by the Company, or any other similar items of compensation. Base Salary will be determined before any deductions for taxes or benefits and deferrals of compensation pursuant to any Company-sponsored plan.</w:t>
      </w:r>
    </w:p>
    <w:p>
      <w:pPr>
        <w:spacing w:after="0" w:line="151" w:lineRule="exact"/>
        <w:rPr>
          <w:sz w:val="20"/>
          <w:szCs w:val="20"/>
          <w:color w:val="auto"/>
        </w:rPr>
      </w:pPr>
    </w:p>
    <w:p>
      <w:pPr>
        <w:ind w:left="1260" w:hanging="628"/>
        <w:spacing w:after="0"/>
        <w:tabs>
          <w:tab w:leader="none" w:pos="126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Establishment of Performance Periods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Plan Administrator will establish the applicable performance periods during which actual performance will be measured against the performance goals established by the Plan Administrator to determine the Participant’s potential Award. Performance periods will generally be established by the Plan Administrator in reference to the Company’s fiscal year and may consist of a single fiscal year, multiple fiscal years, or one or more portions of a fiscal year.</w:t>
      </w:r>
    </w:p>
    <w:p>
      <w:pPr>
        <w:spacing w:after="0" w:line="170" w:lineRule="exact"/>
        <w:rPr>
          <w:sz w:val="20"/>
          <w:szCs w:val="20"/>
          <w:color w:val="auto"/>
        </w:rPr>
      </w:pPr>
    </w:p>
    <w:p>
      <w:pPr>
        <w:ind w:left="1260" w:hanging="628"/>
        <w:spacing w:after="0"/>
        <w:tabs>
          <w:tab w:leader="none" w:pos="126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Establishment of Performance Goals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With respect to each performance period, the Plan Administrator will establish the following for each Participant: (i) one or more performance goals (which may be corporate performance goals and/or individual performance goals) and (ii) the relative weights, if any, of such performance goals and (iii) such other terms and conditions of the Award, if any, the Plan Administrator determines appropriate in its discretion (and in accordance with the terms of the Plan). The Plan Administrator will make such determinations under this Section 5(c) at the times and in the manner determined appropriate in its sole discretion and is not obligated to treat all Plan Participants similarly.</w:t>
      </w:r>
    </w:p>
    <w:p>
      <w:pPr>
        <w:spacing w:after="0" w:line="178" w:lineRule="exact"/>
        <w:rPr>
          <w:sz w:val="20"/>
          <w:szCs w:val="20"/>
          <w:color w:val="auto"/>
        </w:rPr>
      </w:pPr>
    </w:p>
    <w:p>
      <w:pPr>
        <w:ind w:left="1260" w:hanging="628"/>
        <w:spacing w:after="0"/>
        <w:tabs>
          <w:tab w:leader="none" w:pos="126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Evaluation of Performance Results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Following the end of each performance period, the Plan Administrator will determine whether (and to what extent) the performance goals established for such performance period have been achieved.</w:t>
      </w:r>
    </w:p>
    <w:p>
      <w:pPr>
        <w:spacing w:after="0" w:line="154" w:lineRule="exact"/>
        <w:rPr>
          <w:sz w:val="20"/>
          <w:szCs w:val="20"/>
          <w:color w:val="auto"/>
        </w:rPr>
      </w:pPr>
    </w:p>
    <w:p>
      <w:pPr>
        <w:ind w:left="1260" w:hanging="628"/>
        <w:spacing w:after="0"/>
        <w:tabs>
          <w:tab w:leader="none" w:pos="126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Determination of Actual Awards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For each performance period, the Plan Administrator will determine the amount of any actual Award for each Participant (which may be below, at or above the applicable Target Award) based on (i) the extent to which the performance goals established for such performance period have been achieved (and any relative weighting of such performance goals), (ii) such Participant’s Target Award, and (iii) if and the extent to which any and all other conditions for a Participant to earn and receive an Award have been met. Notwithstanding the foregoing, in determining the amount of any actual Award for any Participant, the Plan Administrator will have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758" w:right="339" w:bottom="1440" w:gutter="0" w:footer="0" w:header="0"/>
        </w:sectPr>
      </w:pPr>
    </w:p>
    <w:bookmarkStart w:id="108" w:name="page109"/>
    <w:bookmarkEnd w:id="108"/>
    <w:p>
      <w:pPr>
        <w:jc w:val="both"/>
        <w:spacing w:after="0" w:line="252" w:lineRule="auto"/>
        <w:rPr>
          <w:sz w:val="20"/>
          <w:szCs w:val="20"/>
          <w:color w:val="auto"/>
        </w:rPr>
      </w:pPr>
      <w:r>
        <w:rPr>
          <w:rFonts w:ascii="Arial" w:cs="Arial" w:eastAsia="Arial" w:hAnsi="Arial"/>
          <w:sz w:val="21"/>
          <w:szCs w:val="21"/>
          <w:color w:val="auto"/>
        </w:rPr>
        <w:t>discretion to reduce the amount of any actual Award below the amount calculated under the terms of the Plan, including to zero, or increase the amount of any actual Award above the amount calculated under the terms of the Plan. In making such determination the Plan Administrator may take into consideration such other factors as it determines appropriate, in its sole discretion, including the Participant’s individual performance. Awards will additionally be subject to any maximum payout limitation approved by the Plan Administrator for the applicable performance period.</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Unless otherwise determined by the Plan Administrator or required by applicable law: (i) any Participant who switches from full-time to part-time employment during the performance period will have his or her actual Award reduced on a pro-rata basis based upon the applicable percentage of full-time equivalent employment that was in effect on an aggregate basis during the performance period and</w:t>
      </w:r>
    </w:p>
    <w:p>
      <w:pPr>
        <w:spacing w:after="0" w:line="1" w:lineRule="exact"/>
        <w:rPr>
          <w:sz w:val="20"/>
          <w:szCs w:val="20"/>
          <w:color w:val="auto"/>
        </w:rPr>
      </w:pPr>
    </w:p>
    <w:p>
      <w:pPr>
        <w:jc w:val="both"/>
        <w:ind w:firstLine="5"/>
        <w:spacing w:after="0" w:line="250" w:lineRule="auto"/>
        <w:tabs>
          <w:tab w:leader="none" w:pos="348"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 adjustment will be made to the determined amount of an actual Award for any Participant due to any reduction in the percentage of full-time equivalent employment of a Participant that occurs after expiration of the performance period and prior to determination of the actual Award.</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Unless prohibited by applicable law or otherwise determined by the Plan Administrator: (i) any Participant who is absent due to an approved leave of absence during the performance period, and who otherwise is eligible to receive and earns an actual Award for such performance period, will have his or her actual Award reduced on a pro-rata basis based upon the applicable period of active employment during the performance period and (ii) no adjustment will be made to the determined amount of an actual Award for any Participant due to any leave of absence that commences after expiration of the performance period and prior to determination of the actual Award.</w:t>
      </w:r>
    </w:p>
    <w:p>
      <w:pPr>
        <w:spacing w:after="0" w:line="178" w:lineRule="exact"/>
        <w:rPr>
          <w:sz w:val="20"/>
          <w:szCs w:val="20"/>
          <w:color w:val="auto"/>
        </w:rPr>
      </w:pPr>
    </w:p>
    <w:p>
      <w:pPr>
        <w:ind w:left="640" w:hanging="635"/>
        <w:spacing w:after="0"/>
        <w:tabs>
          <w:tab w:leader="none" w:pos="64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Payment of Awards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Following, and subject to, the Plan Administrator’s determination of actual Awards for a performance period, the Plan Administrator will approve the payment of Awards for such performance period, subject to satisfaction of any continued services or additional conditions established by the Plan Administrator to receive the Award. Payment of Awards under the Plan will be made as soon as practicable after such approval or satisfaction of such conditions, as applicable. However, Awards are not earned until no longer subject to recovery pursuant to the Clawback Provisions described in Section 6(h) below, unless prohibited by applicable law. As a result, the Company pays Awards in advance of the Participant’s earning of the Award, and such advances are subject to recovery pursuant to the Clawback Provisions described in Section 6(h) below.</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All Awards made under the Plan will be paid in the form of cash or, if approved by the Board or the Committee, an equity award under the Company’s 2019 Equity Incentive Plan (or any successor thereto), as determined by the Plan Administrator in its sole discretion. The terms and conditions of any such equity award will be determined by the Plan Administrator in its sole discretion.</w:t>
      </w:r>
    </w:p>
    <w:p>
      <w:pPr>
        <w:spacing w:after="0" w:line="131" w:lineRule="exact"/>
        <w:rPr>
          <w:sz w:val="20"/>
          <w:szCs w:val="20"/>
          <w:color w:val="auto"/>
        </w:rPr>
      </w:pPr>
    </w:p>
    <w:p>
      <w:pPr>
        <w:ind w:left="640" w:hanging="635"/>
        <w:spacing w:after="0"/>
        <w:tabs>
          <w:tab w:leader="none" w:pos="64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15" w:lineRule="exact"/>
        <w:rPr>
          <w:rFonts w:ascii="Arial" w:cs="Arial" w:eastAsia="Arial" w:hAnsi="Arial"/>
          <w:sz w:val="21"/>
          <w:szCs w:val="21"/>
          <w:b w:val="1"/>
          <w:bCs w:val="1"/>
          <w:color w:val="auto"/>
        </w:rPr>
      </w:pPr>
    </w:p>
    <w:p>
      <w:pPr>
        <w:jc w:val="both"/>
        <w:ind w:firstLine="632"/>
        <w:spacing w:after="0" w:line="254" w:lineRule="auto"/>
        <w:tabs>
          <w:tab w:leader="none" w:pos="1250"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of Compensation. </w:t>
      </w:r>
      <w:r>
        <w:rPr>
          <w:rFonts w:ascii="Arial" w:cs="Arial" w:eastAsia="Arial" w:hAnsi="Arial"/>
          <w:sz w:val="21"/>
          <w:szCs w:val="21"/>
          <w:color w:val="auto"/>
        </w:rPr>
        <w:t>The Company will deduct and withhold from any amounts payable to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any amounts required to be deducted and withheld by the Company under the provisions of any applicable federal, state, local or foreign statute, law, regulation, ordinance or order. The Company reserves the right to require a Participant to satisfy such deduction and withholding obligation in such manner as specified by the Company under applicable law, in the event that amounts payable to Participants under the Plan are not paid in the form of cash.</w:t>
      </w:r>
    </w:p>
    <w:p>
      <w:pPr>
        <w:spacing w:after="0" w:line="172" w:lineRule="exact"/>
        <w:rPr>
          <w:rFonts w:ascii="Arial" w:cs="Arial" w:eastAsia="Arial" w:hAnsi="Arial"/>
          <w:sz w:val="21"/>
          <w:szCs w:val="21"/>
          <w:b w:val="1"/>
          <w:bCs w:val="1"/>
          <w:color w:val="auto"/>
        </w:rPr>
      </w:pPr>
    </w:p>
    <w:p>
      <w:pPr>
        <w:ind w:firstLine="632"/>
        <w:spacing w:after="0" w:line="277" w:lineRule="auto"/>
        <w:tabs>
          <w:tab w:leader="none" w:pos="1249"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Plan Funding. </w:t>
      </w:r>
      <w:r>
        <w:rPr>
          <w:rFonts w:ascii="Arial" w:cs="Arial" w:eastAsia="Arial" w:hAnsi="Arial"/>
          <w:sz w:val="21"/>
          <w:szCs w:val="21"/>
          <w:color w:val="auto"/>
        </w:rPr>
        <w:t>The Plan will be unfunded. Nothing contained in the Plan will be deemed to require the Company to</w:t>
      </w:r>
      <w:r>
        <w:rPr>
          <w:rFonts w:ascii="Arial" w:cs="Arial" w:eastAsia="Arial" w:hAnsi="Arial"/>
          <w:sz w:val="21"/>
          <w:szCs w:val="21"/>
          <w:b w:val="1"/>
          <w:bCs w:val="1"/>
          <w:color w:val="auto"/>
        </w:rPr>
        <w:t xml:space="preserve"> </w:t>
      </w:r>
      <w:r>
        <w:rPr>
          <w:rFonts w:ascii="Arial" w:cs="Arial" w:eastAsia="Arial" w:hAnsi="Arial"/>
          <w:sz w:val="21"/>
          <w:szCs w:val="21"/>
          <w:color w:val="auto"/>
        </w:rPr>
        <w:t>deposit, invest or set aside amounts for the payment of any Awards under the Plan.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758" w:right="339" w:bottom="1440" w:gutter="0" w:footer="0" w:header="0"/>
        </w:sectPr>
      </w:pPr>
    </w:p>
    <w:bookmarkStart w:id="109" w:name="page110"/>
    <w:bookmarkEnd w:id="109"/>
    <w:p>
      <w:pPr>
        <w:ind w:firstLine="632"/>
        <w:spacing w:after="0" w:line="277" w:lineRule="auto"/>
        <w:tabs>
          <w:tab w:leader="none" w:pos="1251"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Amendment or Termination of the Plan. </w:t>
      </w:r>
      <w:r>
        <w:rPr>
          <w:rFonts w:ascii="Arial" w:cs="Arial" w:eastAsia="Arial" w:hAnsi="Arial"/>
          <w:sz w:val="21"/>
          <w:szCs w:val="21"/>
          <w:color w:val="auto"/>
        </w:rPr>
        <w:t>The Plan may be amended or terminated at any time by the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or the Board.</w:t>
      </w:r>
    </w:p>
    <w:p>
      <w:pPr>
        <w:spacing w:after="0" w:line="148" w:lineRule="exact"/>
        <w:rPr>
          <w:rFonts w:ascii="Arial" w:cs="Arial" w:eastAsia="Arial" w:hAnsi="Arial"/>
          <w:sz w:val="21"/>
          <w:szCs w:val="21"/>
          <w:b w:val="1"/>
          <w:bCs w:val="1"/>
          <w:color w:val="auto"/>
        </w:rPr>
      </w:pPr>
    </w:p>
    <w:p>
      <w:pPr>
        <w:jc w:val="both"/>
        <w:ind w:firstLine="632"/>
        <w:spacing w:after="0" w:line="256" w:lineRule="auto"/>
        <w:tabs>
          <w:tab w:leader="none" w:pos="1249"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Guarantee of Continued Service. </w:t>
      </w:r>
      <w:r>
        <w:rPr>
          <w:rFonts w:ascii="Arial" w:cs="Arial" w:eastAsia="Arial" w:hAnsi="Arial"/>
          <w:sz w:val="21"/>
          <w:szCs w:val="21"/>
          <w:color w:val="auto"/>
        </w:rPr>
        <w:t>The Plan will not confer any rights upon an employee to remain in service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or any affiliate of the Company for any specific duration or interfere with or otherwise restrict in any way the rights of the Company or any affiliate of the Company to terminate an employee’s service with the Company (or affiliate, if applicable) for any reason, with or without cause or advance notice.</w:t>
      </w:r>
    </w:p>
    <w:p>
      <w:pPr>
        <w:spacing w:after="0" w:line="171" w:lineRule="exact"/>
        <w:rPr>
          <w:rFonts w:ascii="Arial" w:cs="Arial" w:eastAsia="Arial" w:hAnsi="Arial"/>
          <w:sz w:val="21"/>
          <w:szCs w:val="21"/>
          <w:b w:val="1"/>
          <w:bCs w:val="1"/>
          <w:color w:val="auto"/>
        </w:rPr>
      </w:pPr>
    </w:p>
    <w:p>
      <w:pPr>
        <w:jc w:val="both"/>
        <w:ind w:firstLine="632"/>
        <w:spacing w:after="0" w:line="302" w:lineRule="auto"/>
        <w:tabs>
          <w:tab w:leader="none" w:pos="1251"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Assignment or Transfer. </w:t>
      </w:r>
      <w:r>
        <w:rPr>
          <w:rFonts w:ascii="Arial" w:cs="Arial" w:eastAsia="Arial" w:hAnsi="Arial"/>
          <w:sz w:val="19"/>
          <w:szCs w:val="19"/>
          <w:color w:val="auto"/>
        </w:rPr>
        <w:t>None of the rights, benefits, obligations or duties under the Plan may be assigned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by any individual employee or Participant. Any purported assignment or transfer by any employee or Participant will be void. Participation in the Plan does not give any individual any ownership, security, or other rights in any assets of the Company.</w:t>
      </w:r>
    </w:p>
    <w:p>
      <w:pPr>
        <w:spacing w:after="0" w:line="129" w:lineRule="exact"/>
        <w:rPr>
          <w:rFonts w:ascii="Arial" w:cs="Arial" w:eastAsia="Arial" w:hAnsi="Arial"/>
          <w:sz w:val="19"/>
          <w:szCs w:val="19"/>
          <w:b w:val="1"/>
          <w:bCs w:val="1"/>
          <w:color w:val="auto"/>
        </w:rPr>
      </w:pPr>
    </w:p>
    <w:p>
      <w:pPr>
        <w:ind w:firstLine="632"/>
        <w:spacing w:after="0" w:line="277" w:lineRule="auto"/>
        <w:tabs>
          <w:tab w:leader="none" w:pos="1254"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Validity. </w:t>
      </w:r>
      <w:r>
        <w:rPr>
          <w:rFonts w:ascii="Arial" w:cs="Arial" w:eastAsia="Arial" w:hAnsi="Arial"/>
          <w:sz w:val="21"/>
          <w:szCs w:val="21"/>
          <w:color w:val="auto"/>
        </w:rPr>
        <w:t>In the event any provision of the Plan is held invalid, void, or unenforceable, the same will not affect, in any</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whatsoever, the validity of any other provision of the Plan.</w:t>
      </w:r>
    </w:p>
    <w:p>
      <w:pPr>
        <w:spacing w:after="0" w:line="148" w:lineRule="exact"/>
        <w:rPr>
          <w:rFonts w:ascii="Arial" w:cs="Arial" w:eastAsia="Arial" w:hAnsi="Arial"/>
          <w:sz w:val="21"/>
          <w:szCs w:val="21"/>
          <w:b w:val="1"/>
          <w:bCs w:val="1"/>
          <w:color w:val="auto"/>
        </w:rPr>
      </w:pPr>
    </w:p>
    <w:p>
      <w:pPr>
        <w:jc w:val="both"/>
        <w:ind w:firstLine="632"/>
        <w:spacing w:after="0" w:line="287" w:lineRule="auto"/>
        <w:tabs>
          <w:tab w:leader="none" w:pos="125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Documents. </w:t>
      </w:r>
      <w:r>
        <w:rPr>
          <w:rFonts w:ascii="Arial" w:cs="Arial" w:eastAsia="Arial" w:hAnsi="Arial"/>
          <w:sz w:val="19"/>
          <w:szCs w:val="19"/>
          <w:color w:val="auto"/>
        </w:rPr>
        <w:t>Each Award under the Plan shall be governed by the provisions of the Plan as set forth herein.</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 contains the entire agreement between the Company and each Participant on this subject, and supersedes all prior bonus compensation plans or programs of the Company and all other previous oral or written statements regarding any such bonus compensation programs or plans. If the Participant receives an Award under the Company’s Sales Compensation Plan, such Award and the written terms of such Sales Compensation Plan, shall be considered granted under and subject to the terms of this Plan.</w:t>
      </w:r>
    </w:p>
    <w:p>
      <w:pPr>
        <w:spacing w:after="0" w:line="144" w:lineRule="exact"/>
        <w:rPr>
          <w:rFonts w:ascii="Arial" w:cs="Arial" w:eastAsia="Arial" w:hAnsi="Arial"/>
          <w:sz w:val="19"/>
          <w:szCs w:val="19"/>
          <w:b w:val="1"/>
          <w:bCs w:val="1"/>
          <w:color w:val="auto"/>
        </w:rPr>
      </w:pPr>
    </w:p>
    <w:p>
      <w:pPr>
        <w:jc w:val="both"/>
        <w:ind w:firstLine="632"/>
        <w:spacing w:after="0" w:line="280" w:lineRule="auto"/>
        <w:tabs>
          <w:tab w:leader="none" w:pos="1249"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Clawback/Recovery</w:t>
      </w:r>
      <w:r>
        <w:rPr>
          <w:rFonts w:ascii="Arial" w:cs="Arial" w:eastAsia="Arial" w:hAnsi="Arial"/>
          <w:sz w:val="19"/>
          <w:szCs w:val="19"/>
          <w:color w:val="auto"/>
        </w:rPr>
        <w:t>. All Awards and payouts under the Plan will be subject to recoupment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provisions, as applicable (the “</w:t>
      </w:r>
      <w:r>
        <w:rPr>
          <w:rFonts w:ascii="Arial" w:cs="Arial" w:eastAsia="Arial" w:hAnsi="Arial"/>
          <w:sz w:val="19"/>
          <w:szCs w:val="19"/>
          <w:b w:val="1"/>
          <w:bCs w:val="1"/>
          <w:i w:val="1"/>
          <w:iCs w:val="1"/>
          <w:color w:val="auto"/>
        </w:rPr>
        <w:t>Clawback Provisions</w:t>
      </w:r>
      <w:r>
        <w:rPr>
          <w:rFonts w:ascii="Arial" w:cs="Arial" w:eastAsia="Arial" w:hAnsi="Arial"/>
          <w:sz w:val="19"/>
          <w:szCs w:val="19"/>
          <w:color w:val="auto"/>
        </w:rPr>
        <w:t>”): (i) the Zoom Video Communications, Inc. Incentive Compensation Recoupment Policy, (ii) any clawback policy that the Company (x) is required to adopt pursuant to the listing standards of any national securities exchange or association on which the Company’s securities are listed or as is otherwise required by the Dodd-Frank Wall Street Reform and Consumer Protection Act or other applicable law and (y) otherwise voluntarily adopts, to the extent applicable and permissible under applicable law; and (iii) such other clawback, recovery or recoupment provisions set forth in an individual written agreement between the Company and the Participant, including the Company’s Sales Compensation Plan, if applicable to such Participant. No recovery of compensation under such a Clawback Provision will be an event giving rise to a right to resign for “good reason” or “constructive termination” (or similar term) under any agreement with the Company.</w:t>
      </w:r>
    </w:p>
    <w:p>
      <w:pPr>
        <w:spacing w:after="0" w:line="149" w:lineRule="exact"/>
        <w:rPr>
          <w:rFonts w:ascii="Arial" w:cs="Arial" w:eastAsia="Arial" w:hAnsi="Arial"/>
          <w:sz w:val="19"/>
          <w:szCs w:val="19"/>
          <w:b w:val="1"/>
          <w:bCs w:val="1"/>
          <w:color w:val="auto"/>
        </w:rPr>
      </w:pPr>
    </w:p>
    <w:p>
      <w:pPr>
        <w:jc w:val="both"/>
        <w:ind w:firstLine="632"/>
        <w:spacing w:after="0" w:line="284" w:lineRule="auto"/>
        <w:tabs>
          <w:tab w:leader="none" w:pos="1243"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Recovery of Mistaken Payments: </w:t>
      </w:r>
      <w:r>
        <w:rPr>
          <w:rFonts w:ascii="Arial" w:cs="Arial" w:eastAsia="Arial" w:hAnsi="Arial"/>
          <w:sz w:val="19"/>
          <w:szCs w:val="19"/>
          <w:color w:val="auto"/>
        </w:rPr>
        <w:t>On occasion or by mistake, the Company may overpay or make incorrect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of Awards. For these situations, to the extent permitted by applicable law, the Company reserves the right to offset or recover such mistaken payment amounts from any future payments of compensation to the Participant. The Participant authorizes the Company to reduce from any amounts owed to the Participant by the Company (including Base Salary, expense reimbursements, other bonuses or accrued vacation pay) such mistaken payment amounts and, to the extent the mistaken payment amounts are not repaid to the Company from such reduction, then the unpaid balance becomes a debt the Participant owes to the Company.</w:t>
      </w:r>
    </w:p>
    <w:p>
      <w:pPr>
        <w:spacing w:after="0" w:line="147" w:lineRule="exact"/>
        <w:rPr>
          <w:rFonts w:ascii="Arial" w:cs="Arial" w:eastAsia="Arial" w:hAnsi="Arial"/>
          <w:sz w:val="19"/>
          <w:szCs w:val="19"/>
          <w:b w:val="1"/>
          <w:bCs w:val="1"/>
          <w:color w:val="auto"/>
        </w:rPr>
      </w:pPr>
    </w:p>
    <w:p>
      <w:pPr>
        <w:jc w:val="both"/>
        <w:ind w:firstLine="632"/>
        <w:spacing w:after="0" w:line="262" w:lineRule="auto"/>
        <w:tabs>
          <w:tab w:leader="none" w:pos="1254"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Governing Law. </w:t>
      </w:r>
      <w:r>
        <w:rPr>
          <w:rFonts w:ascii="Arial" w:cs="Arial" w:eastAsia="Arial" w:hAnsi="Arial"/>
          <w:sz w:val="21"/>
          <w:szCs w:val="21"/>
          <w:color w:val="auto"/>
        </w:rPr>
        <w:t>The rights and obligations of any employee under the Plan will be governed by and interpreted,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and enforced in accordance with the laws of the State of California without regard to its or any other jurisdiction’s conflicts of laws principles.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752" w:right="339" w:bottom="1440" w:gutter="0" w:footer="0" w:header="0"/>
        </w:sectPr>
      </w:pPr>
    </w:p>
    <w:bookmarkStart w:id="110" w:name="page111"/>
    <w:bookmarkEnd w:id="110"/>
    <w:p>
      <w:pPr>
        <w:jc w:val="both"/>
        <w:ind w:left="-20" w:firstLine="632"/>
        <w:spacing w:after="0" w:line="262" w:lineRule="auto"/>
        <w:tabs>
          <w:tab w:leader="none" w:pos="1229"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All Plan payments are intended to satisfy the requirements for the “short-term deferral” exemption from</w:t>
      </w:r>
      <w:r>
        <w:rPr>
          <w:rFonts w:ascii="Arial" w:cs="Arial" w:eastAsia="Arial" w:hAnsi="Arial"/>
          <w:sz w:val="21"/>
          <w:szCs w:val="21"/>
          <w:b w:val="1"/>
          <w:bCs w:val="1"/>
          <w:color w:val="auto"/>
        </w:rPr>
        <w:t xml:space="preserve"> </w:t>
      </w:r>
      <w:r>
        <w:rPr>
          <w:rFonts w:ascii="Arial" w:cs="Arial" w:eastAsia="Arial" w:hAnsi="Arial"/>
          <w:sz w:val="21"/>
          <w:szCs w:val="21"/>
          <w:color w:val="auto"/>
        </w:rPr>
        <w:t>application of Section 409A provided under Treasury Regulations Sections 1.409A-1(b)(4) and any ambiguities herein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40" w:top="752" w:right="339" w:bottom="1440" w:gutter="0" w:footer="0" w:header="0"/>
        </w:sectPr>
      </w:pPr>
    </w:p>
    <w:bookmarkStart w:id="111" w:name="page112"/>
    <w:bookmarkEnd w:id="111"/>
    <w:p>
      <w:pPr>
        <w:ind w:left="10160"/>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subsidiaries of the Registrant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60" w:type="dxa"/>
            <w:vAlign w:val="bottom"/>
            <w:tcBorders>
              <w:bottom w:val="single" w:sz="8" w:color="auto"/>
            </w:tcBorders>
          </w:tcPr>
          <w:p>
            <w:pPr>
              <w:ind w:left="2080"/>
              <w:spacing w:after="0"/>
              <w:rPr>
                <w:sz w:val="20"/>
                <w:szCs w:val="20"/>
                <w:color w:val="auto"/>
              </w:rPr>
            </w:pPr>
            <w:r>
              <w:rPr>
                <w:rFonts w:ascii="Arial" w:cs="Arial" w:eastAsia="Arial" w:hAnsi="Arial"/>
                <w:sz w:val="21"/>
                <w:szCs w:val="21"/>
                <w:color w:val="auto"/>
              </w:rPr>
              <w:t>Name of Subsidiary</w:t>
            </w:r>
          </w:p>
        </w:tc>
        <w:tc>
          <w:tcPr>
            <w:tcW w:w="5480" w:type="dxa"/>
            <w:vAlign w:val="bottom"/>
            <w:tcBorders>
              <w:bottom w:val="single" w:sz="8" w:color="auto"/>
            </w:tcBorders>
          </w:tcPr>
          <w:p>
            <w:pPr>
              <w:ind w:left="2000"/>
              <w:spacing w:after="0"/>
              <w:rPr>
                <w:sz w:val="20"/>
                <w:szCs w:val="20"/>
                <w:color w:val="auto"/>
              </w:rPr>
            </w:pPr>
            <w:r>
              <w:rPr>
                <w:rFonts w:ascii="Arial" w:cs="Arial" w:eastAsia="Arial" w:hAnsi="Arial"/>
                <w:sz w:val="21"/>
                <w:szCs w:val="21"/>
                <w:color w:val="auto"/>
              </w:rPr>
              <w:t>Jurisdiction of Organization</w:t>
            </w:r>
          </w:p>
        </w:tc>
      </w:tr>
      <w:tr>
        <w:trPr>
          <w:trHeight w:val="253"/>
        </w:trPr>
        <w:tc>
          <w:tcPr>
            <w:tcW w:w="5760" w:type="dxa"/>
            <w:vAlign w:val="bottom"/>
          </w:tcPr>
          <w:p>
            <w:pPr>
              <w:ind w:left="20"/>
              <w:spacing w:after="0"/>
              <w:rPr>
                <w:sz w:val="20"/>
                <w:szCs w:val="20"/>
                <w:color w:val="auto"/>
              </w:rPr>
            </w:pPr>
            <w:r>
              <w:rPr>
                <w:rFonts w:ascii="Arial" w:cs="Arial" w:eastAsia="Arial" w:hAnsi="Arial"/>
                <w:sz w:val="21"/>
                <w:szCs w:val="21"/>
                <w:color w:val="auto"/>
              </w:rPr>
              <w:t>Zoom Voice Communications, Inc.</w:t>
            </w:r>
          </w:p>
        </w:tc>
        <w:tc>
          <w:tcPr>
            <w:tcW w:w="5480" w:type="dxa"/>
            <w:vAlign w:val="bottom"/>
          </w:tcPr>
          <w:p>
            <w:pPr>
              <w:ind w:left="1080"/>
              <w:spacing w:after="0"/>
              <w:rPr>
                <w:sz w:val="20"/>
                <w:szCs w:val="20"/>
                <w:color w:val="auto"/>
              </w:rPr>
            </w:pPr>
            <w:r>
              <w:rPr>
                <w:rFonts w:ascii="Arial" w:cs="Arial" w:eastAsia="Arial" w:hAnsi="Arial"/>
                <w:sz w:val="21"/>
                <w:szCs w:val="21"/>
                <w:color w:val="auto"/>
              </w:rPr>
              <w:t>United States of America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UK LTD</w:t>
            </w:r>
          </w:p>
        </w:tc>
        <w:tc>
          <w:tcPr>
            <w:tcW w:w="5480" w:type="dxa"/>
            <w:vAlign w:val="bottom"/>
          </w:tcPr>
          <w:p>
            <w:pPr>
              <w:ind w:left="1080"/>
              <w:spacing w:after="0"/>
              <w:rPr>
                <w:sz w:val="20"/>
                <w:szCs w:val="20"/>
                <w:color w:val="auto"/>
              </w:rPr>
            </w:pPr>
            <w:r>
              <w:rPr>
                <w:rFonts w:ascii="Arial" w:cs="Arial" w:eastAsia="Arial" w:hAnsi="Arial"/>
                <w:sz w:val="21"/>
                <w:szCs w:val="21"/>
                <w:color w:val="auto"/>
              </w:rPr>
              <w:t>United Kingdom</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Australia PTY LTD</w:t>
            </w:r>
          </w:p>
        </w:tc>
        <w:tc>
          <w:tcPr>
            <w:tcW w:w="5480" w:type="dxa"/>
            <w:vAlign w:val="bottom"/>
          </w:tcPr>
          <w:p>
            <w:pPr>
              <w:ind w:left="1080"/>
              <w:spacing w:after="0"/>
              <w:rPr>
                <w:sz w:val="20"/>
                <w:szCs w:val="20"/>
                <w:color w:val="auto"/>
              </w:rPr>
            </w:pPr>
            <w:r>
              <w:rPr>
                <w:rFonts w:ascii="Arial" w:cs="Arial" w:eastAsia="Arial" w:hAnsi="Arial"/>
                <w:sz w:val="21"/>
                <w:szCs w:val="21"/>
                <w:color w:val="auto"/>
              </w:rPr>
              <w:t>Australia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Netherlands B.V.</w:t>
            </w:r>
          </w:p>
        </w:tc>
        <w:tc>
          <w:tcPr>
            <w:tcW w:w="5480" w:type="dxa"/>
            <w:vAlign w:val="bottom"/>
          </w:tcPr>
          <w:p>
            <w:pPr>
              <w:ind w:left="1080"/>
              <w:spacing w:after="0"/>
              <w:rPr>
                <w:sz w:val="20"/>
                <w:szCs w:val="20"/>
                <w:color w:val="auto"/>
              </w:rPr>
            </w:pPr>
            <w:r>
              <w:rPr>
                <w:rFonts w:ascii="Arial" w:cs="Arial" w:eastAsia="Arial" w:hAnsi="Arial"/>
                <w:sz w:val="21"/>
                <w:szCs w:val="21"/>
                <w:color w:val="auto"/>
              </w:rPr>
              <w:t>Netherlands</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Japan KK</w:t>
            </w:r>
          </w:p>
        </w:tc>
        <w:tc>
          <w:tcPr>
            <w:tcW w:w="5480" w:type="dxa"/>
            <w:vAlign w:val="bottom"/>
          </w:tcPr>
          <w:p>
            <w:pPr>
              <w:ind w:left="1080"/>
              <w:spacing w:after="0"/>
              <w:rPr>
                <w:sz w:val="20"/>
                <w:szCs w:val="20"/>
                <w:color w:val="auto"/>
              </w:rPr>
            </w:pPr>
            <w:r>
              <w:rPr>
                <w:rFonts w:ascii="Arial" w:cs="Arial" w:eastAsia="Arial" w:hAnsi="Arial"/>
                <w:sz w:val="21"/>
                <w:szCs w:val="21"/>
                <w:color w:val="auto"/>
              </w:rPr>
              <w:t>Japan</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Zoom Video Communications (Suzhou) Inc.</w:t>
            </w:r>
          </w:p>
        </w:tc>
        <w:tc>
          <w:tcPr>
            <w:tcW w:w="5480" w:type="dxa"/>
            <w:vAlign w:val="bottom"/>
          </w:tcPr>
          <w:p>
            <w:pPr>
              <w:ind w:left="1080"/>
              <w:spacing w:after="0"/>
              <w:rPr>
                <w:sz w:val="20"/>
                <w:szCs w:val="20"/>
                <w:color w:val="auto"/>
              </w:rPr>
            </w:pPr>
            <w:r>
              <w:rPr>
                <w:rFonts w:ascii="Arial" w:cs="Arial" w:eastAsia="Arial" w:hAnsi="Arial"/>
                <w:sz w:val="21"/>
                <w:szCs w:val="21"/>
                <w:color w:val="auto"/>
              </w:rPr>
              <w:t>China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Saasbee Inc. (Hefei) Ltd.</w:t>
            </w:r>
          </w:p>
        </w:tc>
        <w:tc>
          <w:tcPr>
            <w:tcW w:w="5480" w:type="dxa"/>
            <w:vAlign w:val="bottom"/>
          </w:tcPr>
          <w:p>
            <w:pPr>
              <w:ind w:left="1080"/>
              <w:spacing w:after="0"/>
              <w:rPr>
                <w:sz w:val="20"/>
                <w:szCs w:val="20"/>
                <w:color w:val="auto"/>
              </w:rPr>
            </w:pPr>
            <w:r>
              <w:rPr>
                <w:rFonts w:ascii="Arial" w:cs="Arial" w:eastAsia="Arial" w:hAnsi="Arial"/>
                <w:sz w:val="21"/>
                <w:szCs w:val="21"/>
                <w:color w:val="auto"/>
              </w:rPr>
              <w:t>China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SaasBee Software (Hangzhou) Co., Ltd.</w:t>
            </w:r>
          </w:p>
        </w:tc>
        <w:tc>
          <w:tcPr>
            <w:tcW w:w="5480" w:type="dxa"/>
            <w:vAlign w:val="bottom"/>
          </w:tcPr>
          <w:p>
            <w:pPr>
              <w:ind w:left="1080"/>
              <w:spacing w:after="0"/>
              <w:rPr>
                <w:sz w:val="20"/>
                <w:szCs w:val="20"/>
                <w:color w:val="auto"/>
              </w:rPr>
            </w:pPr>
            <w:r>
              <w:rPr>
                <w:rFonts w:ascii="Arial" w:cs="Arial" w:eastAsia="Arial" w:hAnsi="Arial"/>
                <w:sz w:val="21"/>
                <w:szCs w:val="21"/>
                <w:color w:val="auto"/>
              </w:rPr>
              <w:t>China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France SAS</w:t>
            </w:r>
          </w:p>
        </w:tc>
        <w:tc>
          <w:tcPr>
            <w:tcW w:w="5480" w:type="dxa"/>
            <w:vAlign w:val="bottom"/>
          </w:tcPr>
          <w:p>
            <w:pPr>
              <w:ind w:left="1080"/>
              <w:spacing w:after="0"/>
              <w:rPr>
                <w:sz w:val="20"/>
                <w:szCs w:val="20"/>
                <w:color w:val="auto"/>
              </w:rPr>
            </w:pPr>
            <w:r>
              <w:rPr>
                <w:rFonts w:ascii="Arial" w:cs="Arial" w:eastAsia="Arial" w:hAnsi="Arial"/>
                <w:sz w:val="21"/>
                <w:szCs w:val="21"/>
                <w:color w:val="auto"/>
              </w:rPr>
              <w:t>France</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India PVT LTD</w:t>
            </w:r>
          </w:p>
        </w:tc>
        <w:tc>
          <w:tcPr>
            <w:tcW w:w="5480" w:type="dxa"/>
            <w:vAlign w:val="bottom"/>
          </w:tcPr>
          <w:p>
            <w:pPr>
              <w:ind w:left="1080"/>
              <w:spacing w:after="0"/>
              <w:rPr>
                <w:sz w:val="20"/>
                <w:szCs w:val="20"/>
                <w:color w:val="auto"/>
              </w:rPr>
            </w:pPr>
            <w:r>
              <w:rPr>
                <w:rFonts w:ascii="Arial" w:cs="Arial" w:eastAsia="Arial" w:hAnsi="Arial"/>
                <w:sz w:val="21"/>
                <w:szCs w:val="21"/>
                <w:color w:val="auto"/>
              </w:rPr>
              <w:t>India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Canada LTD</w:t>
            </w:r>
          </w:p>
        </w:tc>
        <w:tc>
          <w:tcPr>
            <w:tcW w:w="5480" w:type="dxa"/>
            <w:vAlign w:val="bottom"/>
          </w:tcPr>
          <w:p>
            <w:pPr>
              <w:ind w:left="1080"/>
              <w:spacing w:after="0"/>
              <w:rPr>
                <w:sz w:val="20"/>
                <w:szCs w:val="20"/>
                <w:color w:val="auto"/>
              </w:rPr>
            </w:pPr>
            <w:r>
              <w:rPr>
                <w:rFonts w:ascii="Arial" w:cs="Arial" w:eastAsia="Arial" w:hAnsi="Arial"/>
                <w:sz w:val="21"/>
                <w:szCs w:val="21"/>
                <w:color w:val="auto"/>
              </w:rPr>
              <w:t>Canada</w:t>
            </w:r>
          </w:p>
        </w:tc>
      </w:tr>
      <w:tr>
        <w:trPr>
          <w:trHeight w:val="285"/>
        </w:trPr>
        <w:tc>
          <w:tcPr>
            <w:tcW w:w="5760" w:type="dxa"/>
            <w:vAlign w:val="bottom"/>
          </w:tcPr>
          <w:p>
            <w:pPr>
              <w:ind w:left="20"/>
              <w:spacing w:after="0"/>
              <w:rPr>
                <w:sz w:val="20"/>
                <w:szCs w:val="20"/>
                <w:color w:val="auto"/>
              </w:rPr>
            </w:pPr>
            <w:r>
              <w:rPr>
                <w:rFonts w:ascii="Arial" w:cs="Arial" w:eastAsia="Arial" w:hAnsi="Arial"/>
                <w:sz w:val="21"/>
                <w:szCs w:val="21"/>
                <w:color w:val="auto"/>
              </w:rPr>
              <w:t>Zoom Video Communications (Hong Kong) LTD</w:t>
            </w:r>
          </w:p>
        </w:tc>
        <w:tc>
          <w:tcPr>
            <w:tcW w:w="5480" w:type="dxa"/>
            <w:vAlign w:val="bottom"/>
          </w:tcPr>
          <w:p>
            <w:pPr>
              <w:ind w:left="1080"/>
              <w:spacing w:after="0"/>
              <w:rPr>
                <w:sz w:val="20"/>
                <w:szCs w:val="20"/>
                <w:color w:val="auto"/>
              </w:rPr>
            </w:pPr>
            <w:r>
              <w:rPr>
                <w:rFonts w:ascii="Arial" w:cs="Arial" w:eastAsia="Arial" w:hAnsi="Arial"/>
                <w:sz w:val="21"/>
                <w:szCs w:val="21"/>
                <w:color w:val="auto"/>
              </w:rPr>
              <w:t>Hong Kong</w:t>
            </w:r>
          </w:p>
        </w:tc>
      </w:tr>
      <w:tr>
        <w:trPr>
          <w:trHeight w:val="251"/>
        </w:trPr>
        <w:tc>
          <w:tcPr>
            <w:tcW w:w="5760" w:type="dxa"/>
            <w:vAlign w:val="bottom"/>
          </w:tcPr>
          <w:p>
            <w:pPr>
              <w:ind w:left="20"/>
              <w:spacing w:after="0"/>
              <w:rPr>
                <w:sz w:val="20"/>
                <w:szCs w:val="20"/>
                <w:color w:val="auto"/>
              </w:rPr>
            </w:pPr>
            <w:r>
              <w:rPr>
                <w:rFonts w:ascii="Arial" w:cs="Arial" w:eastAsia="Arial" w:hAnsi="Arial"/>
                <w:sz w:val="21"/>
                <w:szCs w:val="21"/>
                <w:color w:val="auto"/>
              </w:rPr>
              <w:t>Zoom Video Communications (Shanghai) Co., Ltd.</w:t>
            </w:r>
          </w:p>
        </w:tc>
        <w:tc>
          <w:tcPr>
            <w:tcW w:w="5480" w:type="dxa"/>
            <w:vAlign w:val="bottom"/>
          </w:tcPr>
          <w:p>
            <w:pPr>
              <w:ind w:left="1080"/>
              <w:spacing w:after="0"/>
              <w:rPr>
                <w:sz w:val="20"/>
                <w:szCs w:val="20"/>
                <w:color w:val="auto"/>
              </w:rPr>
            </w:pPr>
            <w:r>
              <w:rPr>
                <w:rFonts w:ascii="Arial" w:cs="Arial" w:eastAsia="Arial" w:hAnsi="Arial"/>
                <w:sz w:val="21"/>
                <w:szCs w:val="21"/>
                <w:color w:val="auto"/>
              </w:rPr>
              <w:t>China</w:t>
            </w:r>
          </w:p>
        </w:tc>
      </w:tr>
      <w:tr>
        <w:trPr>
          <w:trHeight w:val="274"/>
        </w:trPr>
        <w:tc>
          <w:tcPr>
            <w:tcW w:w="5760" w:type="dxa"/>
            <w:vAlign w:val="bottom"/>
          </w:tcPr>
          <w:p>
            <w:pPr>
              <w:ind w:left="20"/>
              <w:spacing w:after="0"/>
              <w:rPr>
                <w:sz w:val="20"/>
                <w:szCs w:val="20"/>
                <w:color w:val="auto"/>
              </w:rPr>
            </w:pPr>
            <w:r>
              <w:rPr>
                <w:rFonts w:ascii="Arial" w:cs="Arial" w:eastAsia="Arial" w:hAnsi="Arial"/>
                <w:sz w:val="21"/>
                <w:szCs w:val="21"/>
                <w:color w:val="auto"/>
              </w:rPr>
              <w:t>ZVC Singapore Pte. Ltd.</w:t>
            </w:r>
          </w:p>
        </w:tc>
        <w:tc>
          <w:tcPr>
            <w:tcW w:w="5480" w:type="dxa"/>
            <w:vAlign w:val="bottom"/>
          </w:tcPr>
          <w:p>
            <w:pPr>
              <w:ind w:left="1080"/>
              <w:spacing w:after="0"/>
              <w:rPr>
                <w:sz w:val="20"/>
                <w:szCs w:val="20"/>
                <w:color w:val="auto"/>
              </w:rPr>
            </w:pPr>
            <w:r>
              <w:rPr>
                <w:rFonts w:ascii="Arial" w:cs="Arial" w:eastAsia="Arial" w:hAnsi="Arial"/>
                <w:sz w:val="21"/>
                <w:szCs w:val="21"/>
                <w:color w:val="auto"/>
              </w:rPr>
              <w:t>Singapore</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ZVC Germany GmbH</w:t>
            </w:r>
          </w:p>
        </w:tc>
        <w:tc>
          <w:tcPr>
            <w:tcW w:w="5480" w:type="dxa"/>
            <w:vAlign w:val="bottom"/>
          </w:tcPr>
          <w:p>
            <w:pPr>
              <w:ind w:left="1080"/>
              <w:spacing w:after="0"/>
              <w:rPr>
                <w:sz w:val="20"/>
                <w:szCs w:val="20"/>
                <w:color w:val="auto"/>
              </w:rPr>
            </w:pPr>
            <w:r>
              <w:rPr>
                <w:rFonts w:ascii="Arial" w:cs="Arial" w:eastAsia="Arial" w:hAnsi="Arial"/>
                <w:sz w:val="21"/>
                <w:szCs w:val="21"/>
                <w:color w:val="auto"/>
              </w:rPr>
              <w:t>Germany</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Keybase LLC</w:t>
            </w:r>
          </w:p>
        </w:tc>
        <w:tc>
          <w:tcPr>
            <w:tcW w:w="5480" w:type="dxa"/>
            <w:vAlign w:val="bottom"/>
          </w:tcPr>
          <w:p>
            <w:pPr>
              <w:ind w:left="1080"/>
              <w:spacing w:after="0"/>
              <w:rPr>
                <w:sz w:val="20"/>
                <w:szCs w:val="20"/>
                <w:color w:val="auto"/>
              </w:rPr>
            </w:pPr>
            <w:r>
              <w:rPr>
                <w:rFonts w:ascii="Arial" w:cs="Arial" w:eastAsia="Arial" w:hAnsi="Arial"/>
                <w:sz w:val="21"/>
                <w:szCs w:val="21"/>
                <w:color w:val="auto"/>
              </w:rPr>
              <w:t>United States of America</w:t>
            </w:r>
          </w:p>
        </w:tc>
      </w:tr>
      <w:tr>
        <w:trPr>
          <w:trHeight w:val="261"/>
        </w:trPr>
        <w:tc>
          <w:tcPr>
            <w:tcW w:w="5760" w:type="dxa"/>
            <w:vAlign w:val="bottom"/>
          </w:tcPr>
          <w:p>
            <w:pPr>
              <w:ind w:left="20"/>
              <w:spacing w:after="0"/>
              <w:rPr>
                <w:sz w:val="20"/>
                <w:szCs w:val="20"/>
                <w:color w:val="auto"/>
              </w:rPr>
            </w:pPr>
            <w:r>
              <w:rPr>
                <w:rFonts w:ascii="Arial" w:cs="Arial" w:eastAsia="Arial" w:hAnsi="Arial"/>
                <w:sz w:val="21"/>
                <w:szCs w:val="21"/>
                <w:color w:val="auto"/>
              </w:rPr>
              <w:t>Zoom Video Communications (Shanghai) Co., Ltd.</w:t>
            </w:r>
          </w:p>
        </w:tc>
        <w:tc>
          <w:tcPr>
            <w:tcW w:w="5480" w:type="dxa"/>
            <w:vAlign w:val="bottom"/>
          </w:tcPr>
          <w:p>
            <w:pPr>
              <w:ind w:left="1080"/>
              <w:spacing w:after="0"/>
              <w:rPr>
                <w:sz w:val="20"/>
                <w:szCs w:val="20"/>
                <w:color w:val="auto"/>
              </w:rPr>
            </w:pPr>
            <w:r>
              <w:rPr>
                <w:rFonts w:ascii="Arial" w:cs="Arial" w:eastAsia="Arial" w:hAnsi="Arial"/>
                <w:sz w:val="21"/>
                <w:szCs w:val="21"/>
                <w:color w:val="auto"/>
              </w:rPr>
              <w:t>China</w:t>
            </w:r>
          </w:p>
        </w:tc>
      </w:tr>
    </w:tbl>
    <w:p>
      <w:pPr>
        <w:sectPr>
          <w:pgSz w:w="11900" w:h="16838" w:orient="portrait"/>
          <w:cols w:equalWidth="0" w:num="1">
            <w:col w:w="11240"/>
          </w:cols>
          <w:pgMar w:left="320" w:top="61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consent to the incorporation by reference in the registration statements (No. 333-254444, No. 333-237348, and No.333-230997) on Form S-8 and registration statement (No.333-252035) on Form S-3 of Zoom Video Communications, Inc. of our report dated March 7, 2022, with respect to the consolidated balance sheets of Zoom Video Communications, Inc. and subsidiaries (the Company) as of January 31, 2022 and 2021, the related consolidated statements of operations, comprehensive income, convertible preferred stock and stockholders’ (deficit) equity, and cash flows for each of the years in the three-year period ended January 31, 2022, and the related notes and financial statement schedule II: valuation and qualifying accounts (collectively, the consolidated financial statements), and the effectiveness of internal control over financial reporting as of January 31, 2022, which report appears in the January 31, 2022 annual report on Form 10-K of Zoom Video Communications, Inc.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rPr>
          <w:sz w:val="20"/>
          <w:szCs w:val="20"/>
          <w:color w:val="auto"/>
        </w:rPr>
      </w:pPr>
      <w:r>
        <w:rPr>
          <w:rFonts w:ascii="Arial" w:cs="Arial" w:eastAsia="Arial" w:hAnsi="Arial"/>
          <w:sz w:val="17"/>
          <w:szCs w:val="17"/>
          <w:color w:val="auto"/>
        </w:rPr>
        <w:t>March 7, 2022</w:t>
      </w:r>
    </w:p>
    <w:p>
      <w:pPr>
        <w:sectPr>
          <w:pgSz w:w="11900" w:h="16838" w:orient="portrait"/>
          <w:cols w:equalWidth="0" w:num="1">
            <w:col w:w="11240"/>
          </w:cols>
          <w:pgMar w:left="320" w:top="84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31.1</w:t>
      </w:r>
    </w:p>
    <w:p>
      <w:pPr>
        <w:spacing w:after="0" w:line="190" w:lineRule="exact"/>
        <w:rPr>
          <w:sz w:val="20"/>
          <w:szCs w:val="20"/>
          <w:color w:val="auto"/>
        </w:rPr>
      </w:pPr>
    </w:p>
    <w:p>
      <w:pPr>
        <w:jc w:val="center"/>
        <w:ind w:left="340" w:right="2260"/>
        <w:spacing w:after="0" w:line="272" w:lineRule="auto"/>
        <w:rPr>
          <w:sz w:val="20"/>
          <w:szCs w:val="20"/>
          <w:color w:val="auto"/>
        </w:rPr>
      </w:pPr>
      <w:r>
        <w:rPr>
          <w:rFonts w:ascii="Arial" w:cs="Arial" w:eastAsia="Arial" w:hAnsi="Arial"/>
          <w:sz w:val="17"/>
          <w:szCs w:val="17"/>
          <w:color w:val="auto"/>
        </w:rPr>
        <w:t>CERTIFICATION OF CHIEF EXECUTIVE OFFICER PURSUANT TO EXCHANGE ACT RULES 13a-14(a) AND 15d-14(a) AS ADOPTED PURSUANT TO SECTION 302 OF THE SARBANES-OXLEY ACT OF 2002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 Eric S. Yuan, certify that:</w:t>
      </w:r>
    </w:p>
    <w:p>
      <w:pPr>
        <w:spacing w:after="0" w:line="184" w:lineRule="exact"/>
        <w:rPr>
          <w:sz w:val="20"/>
          <w:szCs w:val="20"/>
          <w:color w:val="auto"/>
        </w:rPr>
      </w:pPr>
    </w:p>
    <w:p>
      <w:pPr>
        <w:ind w:left="1260" w:hanging="628"/>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Zoom Video Communications, Inc.;</w:t>
      </w:r>
    </w:p>
    <w:p>
      <w:pPr>
        <w:spacing w:after="0" w:line="183" w:lineRule="exact"/>
        <w:rPr>
          <w:rFonts w:ascii="Arial" w:cs="Arial" w:eastAsia="Arial" w:hAnsi="Arial"/>
          <w:sz w:val="17"/>
          <w:szCs w:val="17"/>
          <w:color w:val="auto"/>
        </w:rPr>
      </w:pPr>
    </w:p>
    <w:p>
      <w:pPr>
        <w:jc w:val="both"/>
        <w:ind w:left="1260" w:right="100" w:hanging="628"/>
        <w:spacing w:after="0" w:line="272"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7"/>
          <w:szCs w:val="17"/>
          <w:color w:val="auto"/>
        </w:rPr>
      </w:pPr>
    </w:p>
    <w:p>
      <w:pPr>
        <w:ind w:left="1260" w:right="80" w:hanging="628"/>
        <w:spacing w:after="0" w:line="321"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6"/>
          <w:szCs w:val="16"/>
          <w:color w:val="auto"/>
        </w:rPr>
      </w:pPr>
    </w:p>
    <w:p>
      <w:pPr>
        <w:ind w:left="1260" w:right="40" w:hanging="628"/>
        <w:spacing w:after="0" w:line="299" w:lineRule="auto"/>
        <w:tabs>
          <w:tab w:leader="none" w:pos="12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171" w:lineRule="exact"/>
        <w:rPr>
          <w:rFonts w:ascii="Arial" w:cs="Arial" w:eastAsia="Arial" w:hAnsi="Arial"/>
          <w:sz w:val="15"/>
          <w:szCs w:val="15"/>
          <w:color w:val="auto"/>
        </w:rPr>
      </w:pPr>
    </w:p>
    <w:p>
      <w:pPr>
        <w:ind w:left="1880" w:right="80" w:hanging="621"/>
        <w:spacing w:after="0" w:line="272" w:lineRule="auto"/>
        <w:tabs>
          <w:tab w:leader="none" w:pos="18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Arial" w:cs="Arial" w:eastAsia="Arial" w:hAnsi="Arial"/>
          <w:sz w:val="17"/>
          <w:szCs w:val="17"/>
          <w:color w:val="auto"/>
        </w:rPr>
      </w:pPr>
    </w:p>
    <w:p>
      <w:pPr>
        <w:ind w:left="1880" w:right="140" w:hanging="621"/>
        <w:spacing w:after="0" w:line="272" w:lineRule="auto"/>
        <w:tabs>
          <w:tab w:leader="none" w:pos="18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ind w:left="1880" w:right="220" w:hanging="621"/>
        <w:spacing w:after="0" w:line="272" w:lineRule="auto"/>
        <w:tabs>
          <w:tab w:leader="none" w:pos="187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ind w:left="1880" w:right="320" w:hanging="621"/>
        <w:spacing w:after="0" w:line="297" w:lineRule="auto"/>
        <w:tabs>
          <w:tab w:leader="none" w:pos="18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6"/>
          <w:szCs w:val="16"/>
          <w:color w:val="auto"/>
        </w:rPr>
      </w:pPr>
    </w:p>
    <w:p>
      <w:pPr>
        <w:ind w:left="1260" w:right="500" w:hanging="628"/>
        <w:spacing w:after="0" w:line="272"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880" w:right="180" w:hanging="621"/>
        <w:spacing w:after="0" w:line="321" w:lineRule="auto"/>
        <w:tabs>
          <w:tab w:leader="none" w:pos="187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6"/>
          <w:szCs w:val="16"/>
          <w:color w:val="auto"/>
        </w:rPr>
      </w:pPr>
    </w:p>
    <w:p>
      <w:pPr>
        <w:ind w:left="1880" w:right="440" w:hanging="621"/>
        <w:spacing w:after="0" w:line="288" w:lineRule="auto"/>
        <w:tabs>
          <w:tab w:leader="none" w:pos="18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7"/>
          <w:szCs w:val="17"/>
          <w:b w:val="1"/>
          <w:bCs w:val="1"/>
          <w:color w:val="auto"/>
        </w:rPr>
        <w:t>ZOOM VIDEO COMMUNICATIONS, INC.</w:t>
      </w: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5320" w:type="dxa"/>
            <w:vAlign w:val="bottom"/>
          </w:tcPr>
          <w:p>
            <w:pPr>
              <w:ind w:left="4880"/>
              <w:spacing w:after="0"/>
              <w:rPr>
                <w:sz w:val="20"/>
                <w:szCs w:val="20"/>
                <w:color w:val="auto"/>
              </w:rPr>
            </w:pPr>
            <w:r>
              <w:rPr>
                <w:rFonts w:ascii="Arial" w:cs="Arial" w:eastAsia="Arial" w:hAnsi="Arial"/>
                <w:sz w:val="17"/>
                <w:szCs w:val="17"/>
                <w:color w:val="auto"/>
              </w:rPr>
              <w:t>By:</w:t>
            </w:r>
          </w:p>
        </w:tc>
        <w:tc>
          <w:tcPr>
            <w:tcW w:w="3980" w:type="dxa"/>
            <w:vAlign w:val="bottom"/>
            <w:gridSpan w:val="2"/>
          </w:tcPr>
          <w:p>
            <w:pPr>
              <w:ind w:left="180"/>
              <w:spacing w:after="0"/>
              <w:rPr>
                <w:sz w:val="20"/>
                <w:szCs w:val="20"/>
                <w:color w:val="auto"/>
              </w:rPr>
            </w:pPr>
            <w:r>
              <w:rPr>
                <w:rFonts w:ascii="Arial" w:cs="Arial" w:eastAsia="Arial" w:hAnsi="Arial"/>
                <w:sz w:val="17"/>
                <w:szCs w:val="17"/>
                <w:color w:val="auto"/>
              </w:rPr>
              <w:t>/s/ Eric S. Yuan</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7"/>
                <w:szCs w:val="17"/>
                <w:color w:val="auto"/>
              </w:rPr>
              <w:t>Date: March 7, 2022</w:t>
            </w:r>
          </w:p>
        </w:tc>
        <w:tc>
          <w:tcPr>
            <w:tcW w:w="48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3980" w:type="dxa"/>
            <w:vAlign w:val="bottom"/>
            <w:gridSpan w:val="2"/>
          </w:tcPr>
          <w:p>
            <w:pPr>
              <w:ind w:left="180"/>
              <w:spacing w:after="0"/>
              <w:rPr>
                <w:sz w:val="20"/>
                <w:szCs w:val="20"/>
                <w:color w:val="auto"/>
              </w:rPr>
            </w:pPr>
            <w:r>
              <w:rPr>
                <w:rFonts w:ascii="Arial" w:cs="Arial" w:eastAsia="Arial" w:hAnsi="Arial"/>
                <w:sz w:val="17"/>
                <w:szCs w:val="17"/>
                <w:color w:val="auto"/>
              </w:rPr>
              <w:t>Eric S. Yuan</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Arial" w:cs="Arial" w:eastAsia="Arial" w:hAnsi="Arial"/>
                <w:sz w:val="17"/>
                <w:szCs w:val="17"/>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6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31.2</w:t>
      </w:r>
    </w:p>
    <w:p>
      <w:pPr>
        <w:spacing w:after="0" w:line="203" w:lineRule="exact"/>
        <w:rPr>
          <w:sz w:val="20"/>
          <w:szCs w:val="20"/>
          <w:color w:val="auto"/>
        </w:rPr>
      </w:pPr>
    </w:p>
    <w:p>
      <w:pPr>
        <w:jc w:val="center"/>
        <w:ind w:left="340" w:right="2260"/>
        <w:spacing w:after="0" w:line="272" w:lineRule="auto"/>
        <w:rPr>
          <w:sz w:val="20"/>
          <w:szCs w:val="20"/>
          <w:color w:val="auto"/>
        </w:rPr>
      </w:pPr>
      <w:r>
        <w:rPr>
          <w:rFonts w:ascii="Arial" w:cs="Arial" w:eastAsia="Arial" w:hAnsi="Arial"/>
          <w:sz w:val="17"/>
          <w:szCs w:val="17"/>
          <w:color w:val="auto"/>
        </w:rPr>
        <w:t>CERTIFICATION OF CHIEF FINANCIAL OFFICER PURSUANT TO EXCHANGE ACT RULES 13a-14(a) AND 15d-14(a) AS ADOPTED PURSUANT TO SECTION 302 OF THE SARBANES-OXLEY ACT OF 2002</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 Kelly Steckelberg, certify that:</w:t>
      </w:r>
    </w:p>
    <w:p>
      <w:pPr>
        <w:spacing w:after="0" w:line="184" w:lineRule="exact"/>
        <w:rPr>
          <w:sz w:val="20"/>
          <w:szCs w:val="20"/>
          <w:color w:val="auto"/>
        </w:rPr>
      </w:pPr>
    </w:p>
    <w:p>
      <w:pPr>
        <w:ind w:left="1260" w:hanging="628"/>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Zoom Video Communications, Inc.;</w:t>
      </w:r>
    </w:p>
    <w:p>
      <w:pPr>
        <w:spacing w:after="0" w:line="196" w:lineRule="exact"/>
        <w:rPr>
          <w:rFonts w:ascii="Arial" w:cs="Arial" w:eastAsia="Arial" w:hAnsi="Arial"/>
          <w:sz w:val="17"/>
          <w:szCs w:val="17"/>
          <w:color w:val="auto"/>
        </w:rPr>
      </w:pPr>
    </w:p>
    <w:p>
      <w:pPr>
        <w:jc w:val="both"/>
        <w:ind w:left="1260" w:right="100" w:hanging="628"/>
        <w:spacing w:after="0" w:line="272"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7"/>
          <w:szCs w:val="17"/>
          <w:color w:val="auto"/>
        </w:rPr>
      </w:pPr>
    </w:p>
    <w:p>
      <w:pPr>
        <w:ind w:left="1260" w:right="80" w:hanging="628"/>
        <w:spacing w:after="0" w:line="321" w:lineRule="auto"/>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6"/>
          <w:szCs w:val="16"/>
          <w:color w:val="auto"/>
        </w:rPr>
      </w:pPr>
    </w:p>
    <w:p>
      <w:pPr>
        <w:ind w:left="1260" w:right="40" w:hanging="628"/>
        <w:spacing w:after="0" w:line="299" w:lineRule="auto"/>
        <w:tabs>
          <w:tab w:leader="none" w:pos="12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184" w:lineRule="exact"/>
        <w:rPr>
          <w:rFonts w:ascii="Arial" w:cs="Arial" w:eastAsia="Arial" w:hAnsi="Arial"/>
          <w:sz w:val="15"/>
          <w:szCs w:val="15"/>
          <w:color w:val="auto"/>
        </w:rPr>
      </w:pPr>
    </w:p>
    <w:p>
      <w:pPr>
        <w:ind w:left="1880" w:right="80" w:hanging="621"/>
        <w:spacing w:after="0" w:line="272" w:lineRule="auto"/>
        <w:tabs>
          <w:tab w:leader="none" w:pos="18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7"/>
          <w:szCs w:val="17"/>
          <w:color w:val="auto"/>
        </w:rPr>
      </w:pPr>
    </w:p>
    <w:p>
      <w:pPr>
        <w:ind w:left="1880" w:right="140" w:hanging="621"/>
        <w:spacing w:after="0" w:line="272" w:lineRule="auto"/>
        <w:tabs>
          <w:tab w:leader="none" w:pos="18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ind w:left="1880" w:right="220" w:hanging="621"/>
        <w:spacing w:after="0" w:line="272" w:lineRule="auto"/>
        <w:tabs>
          <w:tab w:leader="none" w:pos="18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7"/>
          <w:szCs w:val="17"/>
          <w:color w:val="auto"/>
        </w:rPr>
      </w:pPr>
    </w:p>
    <w:p>
      <w:pPr>
        <w:ind w:left="1880" w:right="320" w:hanging="621"/>
        <w:spacing w:after="0" w:line="297" w:lineRule="auto"/>
        <w:tabs>
          <w:tab w:leader="none" w:pos="18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6"/>
          <w:szCs w:val="16"/>
          <w:color w:val="auto"/>
        </w:rPr>
      </w:pPr>
    </w:p>
    <w:p>
      <w:pPr>
        <w:ind w:left="1260" w:right="500" w:hanging="628"/>
        <w:spacing w:after="0" w:line="272"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880" w:right="180" w:hanging="621"/>
        <w:spacing w:after="0" w:line="321" w:lineRule="auto"/>
        <w:tabs>
          <w:tab w:leader="none" w:pos="187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6"/>
          <w:szCs w:val="16"/>
          <w:color w:val="auto"/>
        </w:rPr>
      </w:pPr>
    </w:p>
    <w:p>
      <w:pPr>
        <w:ind w:left="1880" w:right="440" w:hanging="621"/>
        <w:spacing w:after="0" w:line="288" w:lineRule="auto"/>
        <w:tabs>
          <w:tab w:leader="none" w:pos="18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ZOOM VIDEO COMMUNICATIONS, INC.</w:t>
      </w:r>
    </w:p>
    <w:p>
      <w:pPr>
        <w:spacing w:after="0" w:line="294"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5220" w:type="dxa"/>
            <w:vAlign w:val="bottom"/>
          </w:tcPr>
          <w:p>
            <w:pPr>
              <w:ind w:left="4860"/>
              <w:spacing w:after="0"/>
              <w:rPr>
                <w:sz w:val="20"/>
                <w:szCs w:val="20"/>
                <w:color w:val="auto"/>
              </w:rPr>
            </w:pPr>
            <w:r>
              <w:rPr>
                <w:rFonts w:ascii="Arial" w:cs="Arial" w:eastAsia="Arial" w:hAnsi="Arial"/>
                <w:sz w:val="17"/>
                <w:szCs w:val="17"/>
                <w:color w:val="auto"/>
              </w:rPr>
              <w:t>By:</w:t>
            </w:r>
          </w:p>
        </w:tc>
        <w:tc>
          <w:tcPr>
            <w:tcW w:w="3920" w:type="dxa"/>
            <w:vAlign w:val="bottom"/>
            <w:gridSpan w:val="2"/>
          </w:tcPr>
          <w:p>
            <w:pPr>
              <w:ind w:left="120"/>
              <w:spacing w:after="0"/>
              <w:rPr>
                <w:sz w:val="20"/>
                <w:szCs w:val="20"/>
                <w:color w:val="auto"/>
              </w:rPr>
            </w:pPr>
            <w:r>
              <w:rPr>
                <w:rFonts w:ascii="Arial" w:cs="Arial" w:eastAsia="Arial" w:hAnsi="Arial"/>
                <w:sz w:val="17"/>
                <w:szCs w:val="17"/>
                <w:color w:val="auto"/>
              </w:rPr>
              <w:t>/s/ Kelly Steckelberg</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Date: March 7, 2022</w:t>
            </w:r>
          </w:p>
        </w:tc>
        <w:tc>
          <w:tcPr>
            <w:tcW w:w="4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20" w:type="dxa"/>
            <w:vAlign w:val="bottom"/>
            <w:vMerge w:val="continue"/>
          </w:tcPr>
          <w:p>
            <w:pPr>
              <w:spacing w:after="0"/>
              <w:rPr>
                <w:sz w:val="18"/>
                <w:szCs w:val="18"/>
                <w:color w:val="auto"/>
              </w:rPr>
            </w:pPr>
          </w:p>
        </w:tc>
        <w:tc>
          <w:tcPr>
            <w:tcW w:w="3920" w:type="dxa"/>
            <w:vAlign w:val="bottom"/>
            <w:gridSpan w:val="2"/>
          </w:tcPr>
          <w:p>
            <w:pPr>
              <w:ind w:left="120"/>
              <w:spacing w:after="0"/>
              <w:rPr>
                <w:sz w:val="20"/>
                <w:szCs w:val="20"/>
                <w:color w:val="auto"/>
              </w:rPr>
            </w:pPr>
            <w:r>
              <w:rPr>
                <w:rFonts w:ascii="Arial" w:cs="Arial" w:eastAsia="Arial" w:hAnsi="Arial"/>
                <w:sz w:val="17"/>
                <w:szCs w:val="17"/>
                <w:color w:val="auto"/>
              </w:rPr>
              <w:t>Kelly Steckelberg</w:t>
            </w: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7"/>
                <w:szCs w:val="17"/>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 AND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200" w:lineRule="exact"/>
        <w:rPr>
          <w:sz w:val="20"/>
          <w:szCs w:val="20"/>
          <w:color w:val="auto"/>
        </w:rPr>
      </w:pPr>
    </w:p>
    <w:p>
      <w:pPr>
        <w:spacing w:after="0" w:line="39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I, Eric S. Yuan, certify, pursuant to 18 U.S.C. Section 1350, as adopted pursuant to Section 906 of the Sarbanes-Oxley Act of 2002, that the Annual Report on Form 10-K of Zoom Video Communications, Inc. for the fiscal year ended January 31, 2022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080" w:type="dxa"/>
            <w:vAlign w:val="bottom"/>
          </w:tcPr>
          <w:p>
            <w:pPr>
              <w:spacing w:after="0"/>
              <w:rPr>
                <w:sz w:val="19"/>
                <w:szCs w:val="19"/>
                <w:color w:val="auto"/>
              </w:rPr>
            </w:pPr>
          </w:p>
        </w:tc>
        <w:tc>
          <w:tcPr>
            <w:tcW w:w="7000" w:type="dxa"/>
            <w:vAlign w:val="bottom"/>
            <w:gridSpan w:val="2"/>
          </w:tcPr>
          <w:p>
            <w:pPr>
              <w:ind w:left="2620"/>
              <w:spacing w:after="0"/>
              <w:rPr>
                <w:sz w:val="20"/>
                <w:szCs w:val="20"/>
                <w:color w:val="auto"/>
              </w:rPr>
            </w:pPr>
            <w:r>
              <w:rPr>
                <w:rFonts w:ascii="Arial" w:cs="Arial" w:eastAsia="Arial" w:hAnsi="Arial"/>
                <w:sz w:val="17"/>
                <w:szCs w:val="17"/>
                <w:b w:val="1"/>
                <w:bCs w:val="1"/>
                <w:color w:val="auto"/>
              </w:rPr>
              <w:t>ZOOM VIDEO COMMUNICATIONS, INC.</w:t>
            </w:r>
          </w:p>
        </w:tc>
      </w:tr>
      <w:tr>
        <w:trPr>
          <w:trHeight w:val="444"/>
        </w:trPr>
        <w:tc>
          <w:tcPr>
            <w:tcW w:w="4080" w:type="dxa"/>
            <w:vAlign w:val="bottom"/>
          </w:tcPr>
          <w:p>
            <w:pPr>
              <w:spacing w:after="0"/>
              <w:rPr>
                <w:sz w:val="20"/>
                <w:szCs w:val="20"/>
                <w:color w:val="auto"/>
              </w:rPr>
            </w:pPr>
            <w:r>
              <w:rPr>
                <w:rFonts w:ascii="Arial" w:cs="Arial" w:eastAsia="Arial" w:hAnsi="Arial"/>
                <w:sz w:val="17"/>
                <w:szCs w:val="17"/>
                <w:color w:val="auto"/>
              </w:rPr>
              <w:t>Date: March 7, 2022</w:t>
            </w:r>
          </w:p>
        </w:tc>
        <w:tc>
          <w:tcPr>
            <w:tcW w:w="7000" w:type="dxa"/>
            <w:vAlign w:val="bottom"/>
            <w:gridSpan w:val="2"/>
          </w:tcPr>
          <w:p>
            <w:pPr>
              <w:ind w:left="2620"/>
              <w:spacing w:after="0"/>
              <w:rPr>
                <w:sz w:val="20"/>
                <w:szCs w:val="20"/>
                <w:color w:val="auto"/>
              </w:rPr>
            </w:pPr>
            <w:r>
              <w:rPr>
                <w:rFonts w:ascii="Arial" w:cs="Arial" w:eastAsia="Arial" w:hAnsi="Arial"/>
                <w:sz w:val="17"/>
                <w:szCs w:val="17"/>
                <w:color w:val="auto"/>
              </w:rPr>
              <w:t>By:  /s/ Eric S. Yuan</w:t>
            </w:r>
          </w:p>
        </w:tc>
      </w:tr>
      <w:tr>
        <w:trPr>
          <w:trHeight w:val="215"/>
        </w:trPr>
        <w:tc>
          <w:tcPr>
            <w:tcW w:w="4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Eric S. Yuan</w:t>
            </w:r>
          </w:p>
        </w:tc>
      </w:tr>
      <w:tr>
        <w:trPr>
          <w:trHeight w:val="222"/>
        </w:trPr>
        <w:tc>
          <w:tcPr>
            <w:tcW w:w="40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22"/>
        </w:trPr>
        <w:tc>
          <w:tcPr>
            <w:tcW w:w="40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 Kelly Steckelberg, certify, pursuant to 18 U.S.C. Section 1350, as adopted pursuant to Section 906 of the Sarbanes-Oxley Act of 2002, that the Annual Report on Form 10-K of Zoom Video Communications, Inc. for the fiscal year ended January 31, 2022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080" w:type="dxa"/>
            <w:vAlign w:val="bottom"/>
          </w:tcPr>
          <w:p>
            <w:pPr>
              <w:spacing w:after="0"/>
              <w:rPr>
                <w:sz w:val="19"/>
                <w:szCs w:val="19"/>
                <w:color w:val="auto"/>
              </w:rPr>
            </w:pPr>
          </w:p>
        </w:tc>
        <w:tc>
          <w:tcPr>
            <w:tcW w:w="7000" w:type="dxa"/>
            <w:vAlign w:val="bottom"/>
            <w:gridSpan w:val="2"/>
          </w:tcPr>
          <w:p>
            <w:pPr>
              <w:ind w:left="2620"/>
              <w:spacing w:after="0"/>
              <w:rPr>
                <w:sz w:val="20"/>
                <w:szCs w:val="20"/>
                <w:color w:val="auto"/>
              </w:rPr>
            </w:pPr>
            <w:r>
              <w:rPr>
                <w:rFonts w:ascii="Arial" w:cs="Arial" w:eastAsia="Arial" w:hAnsi="Arial"/>
                <w:sz w:val="17"/>
                <w:szCs w:val="17"/>
                <w:b w:val="1"/>
                <w:bCs w:val="1"/>
                <w:color w:val="auto"/>
              </w:rPr>
              <w:t>ZOOM VIDEO COMMUNICATIONS, INC.</w:t>
            </w:r>
          </w:p>
        </w:tc>
      </w:tr>
      <w:tr>
        <w:trPr>
          <w:trHeight w:val="444"/>
        </w:trPr>
        <w:tc>
          <w:tcPr>
            <w:tcW w:w="4080" w:type="dxa"/>
            <w:vAlign w:val="bottom"/>
          </w:tcPr>
          <w:p>
            <w:pPr>
              <w:spacing w:after="0"/>
              <w:rPr>
                <w:sz w:val="20"/>
                <w:szCs w:val="20"/>
                <w:color w:val="auto"/>
              </w:rPr>
            </w:pPr>
            <w:r>
              <w:rPr>
                <w:rFonts w:ascii="Arial" w:cs="Arial" w:eastAsia="Arial" w:hAnsi="Arial"/>
                <w:sz w:val="17"/>
                <w:szCs w:val="17"/>
                <w:color w:val="auto"/>
              </w:rPr>
              <w:t>Date: March 7, 2022</w:t>
            </w:r>
          </w:p>
        </w:tc>
        <w:tc>
          <w:tcPr>
            <w:tcW w:w="7000" w:type="dxa"/>
            <w:vAlign w:val="bottom"/>
            <w:gridSpan w:val="2"/>
          </w:tcPr>
          <w:p>
            <w:pPr>
              <w:ind w:left="2620"/>
              <w:spacing w:after="0"/>
              <w:rPr>
                <w:sz w:val="20"/>
                <w:szCs w:val="20"/>
                <w:color w:val="auto"/>
              </w:rPr>
            </w:pPr>
            <w:r>
              <w:rPr>
                <w:rFonts w:ascii="Arial" w:cs="Arial" w:eastAsia="Arial" w:hAnsi="Arial"/>
                <w:sz w:val="17"/>
                <w:szCs w:val="17"/>
                <w:color w:val="auto"/>
              </w:rPr>
              <w:t>By:  /s/ Kelly Steckelberg</w:t>
            </w:r>
          </w:p>
        </w:tc>
      </w:tr>
      <w:tr>
        <w:trPr>
          <w:trHeight w:val="215"/>
        </w:trPr>
        <w:tc>
          <w:tcPr>
            <w:tcW w:w="4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Kelly Steckelberg</w:t>
            </w:r>
          </w:p>
        </w:tc>
      </w:tr>
      <w:tr>
        <w:trPr>
          <w:trHeight w:val="222"/>
        </w:trPr>
        <w:tc>
          <w:tcPr>
            <w:tcW w:w="40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2"/>
        </w:trPr>
        <w:tc>
          <w:tcPr>
            <w:tcW w:w="40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3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Zoom Video Communications,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4"/>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2"/>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1."/>
      <w:numFmt w:val="decimal"/>
      <w:start w:val="4"/>
    </w:lvl>
  </w:abstractNum>
  <w:abstractNum w:abstractNumId="26">
    <w:nsid w:val="2D517796"/>
    <w:multiLevelType w:val="hybridMultilevel"/>
    <w:lvl w:ilvl="0">
      <w:lvlJc w:val="left"/>
      <w:lvlText w:val="%1."/>
      <w:numFmt w:val="decimal"/>
      <w:start w:val="5"/>
    </w:lvl>
  </w:abstractNum>
  <w:abstractNum w:abstractNumId="27">
    <w:nsid w:val="580BD78F"/>
    <w:multiLevelType w:val="hybridMultilevel"/>
    <w:lvl w:ilvl="0">
      <w:lvlJc w:val="left"/>
      <w:lvlText w:val="%1."/>
      <w:numFmt w:val="decimal"/>
      <w:start w:val="3"/>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
      <w:numFmt w:val="bullet"/>
      <w:start w:val="1"/>
    </w:lvl>
    <w:lvl w:ilvl="1">
      <w:lvlJc w:val="left"/>
      <w:lvlText w:val="%2"/>
      <w:numFmt w:val="decimal"/>
      <w:start w:val="104"/>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a"/>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1."/>
      <w:numFmt w:val="decimal"/>
      <w:start w:val="3"/>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2"/>
    </w:lvl>
  </w:abstractNum>
  <w:abstractNum w:abstractNumId="40">
    <w:nsid w:val="6DE91B18"/>
    <w:multiLevelType w:val="hybridMultilevel"/>
    <w:lvl w:ilvl="0">
      <w:lvlJc w:val="left"/>
      <w:lvlText w:val="(%1)"/>
      <w:numFmt w:val="lowerLetter"/>
      <w:start w:val="3"/>
    </w:lvl>
  </w:abstractNum>
  <w:abstractNum w:abstractNumId="41">
    <w:nsid w:val="38437FDB"/>
    <w:multiLevelType w:val="hybridMultilevel"/>
    <w:lvl w:ilvl="0">
      <w:lvlJc w:val="left"/>
      <w:lvlText w:val="%1."/>
      <w:numFmt w:val="decimal"/>
      <w:start w:val="4"/>
    </w:lvl>
    <w:lvl w:ilvl="1">
      <w:lvlJc w:val="left"/>
      <w:lvlText w:val="(%2)"/>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3"/>
    </w:lvl>
  </w:abstractNum>
  <w:abstractNum w:abstractNumId="44">
    <w:nsid w:val="684A481A"/>
    <w:multiLevelType w:val="hybridMultilevel"/>
    <w:lvl w:ilvl="0">
      <w:lvlJc w:val="left"/>
      <w:lvlText w:val="(%1)"/>
      <w:numFmt w:val="lowerLetter"/>
      <w:start w:val="4"/>
    </w:lvl>
  </w:abstractNum>
  <w:abstractNum w:abstractNumId="45">
    <w:nsid w:val="579478FE"/>
    <w:multiLevelType w:val="hybridMultilevel"/>
    <w:lvl w:ilvl="0">
      <w:lvlJc w:val="left"/>
      <w:lvlText w:val="(%1)"/>
      <w:numFmt w:val="lowerLetter"/>
      <w:start w:val="5"/>
    </w:lvl>
  </w:abstractNum>
  <w:abstractNum w:abstractNumId="46">
    <w:nsid w:val="749ABB43"/>
    <w:multiLevelType w:val="hybridMultilevel"/>
    <w:lvl w:ilvl="0">
      <w:lvlJc w:val="left"/>
      <w:lvlText w:val="(%1)"/>
      <w:numFmt w:val="lowerRoman"/>
      <w:start w:val="2"/>
    </w:lvl>
  </w:abstractNum>
  <w:abstractNum w:abstractNumId="47">
    <w:nsid w:val="3DC240FB"/>
    <w:multiLevelType w:val="hybridMultilevel"/>
    <w:lvl w:ilvl="0">
      <w:lvlJc w:val="left"/>
      <w:lvlText w:val="%1."/>
      <w:numFmt w:val="decimal"/>
      <w:start w:val="5"/>
    </w:lvl>
  </w:abstractNum>
  <w:abstractNum w:abstractNumId="48">
    <w:nsid w:val="1BA026FA"/>
    <w:multiLevelType w:val="hybridMultilevel"/>
    <w:lvl w:ilvl="0">
      <w:lvlJc w:val="left"/>
      <w:lvlText w:val="%1."/>
      <w:numFmt w:val="decimal"/>
      <w:start w:val="6"/>
    </w:lvl>
    <w:lvl w:ilvl="1">
      <w:lvlJc w:val="left"/>
      <w:lvlText w:val="(%2)"/>
      <w:numFmt w:val="lowerLetter"/>
      <w:start w:val="1"/>
    </w:lvl>
  </w:abstractNum>
  <w:abstractNum w:abstractNumId="49">
    <w:nsid w:val="79A1DEAA"/>
    <w:multiLevelType w:val="hybridMultilevel"/>
    <w:lvl w:ilvl="0">
      <w:lvlJc w:val="left"/>
      <w:lvlText w:val="(%1)"/>
      <w:numFmt w:val="lowerLetter"/>
      <w:start w:val="3"/>
    </w:lvl>
  </w:abstractNum>
  <w:abstractNum w:abstractNumId="50">
    <w:nsid w:val="75C6C33A"/>
    <w:multiLevelType w:val="hybridMultilevel"/>
    <w:lvl w:ilvl="0">
      <w:lvlJc w:val="left"/>
      <w:lvlText w:val="(%1)"/>
      <w:numFmt w:val="lowerLetter"/>
      <w:start w:val="1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4"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11" Type="http://schemas.openxmlformats.org/officeDocument/2006/relationships/hyperlink" Target="http://www.sec.gov/Archives/edgar/data/1585521/000119312519115111/d736915dex31.htm" TargetMode="External"/><Relationship Id="rId112" Type="http://schemas.openxmlformats.org/officeDocument/2006/relationships/hyperlink" Target="http://www.sec.gov/Archives/edgar/data/1585521/000119312519099813/d642624dex34.htm" TargetMode="External"/><Relationship Id="rId113" Type="http://schemas.openxmlformats.org/officeDocument/2006/relationships/hyperlink" Target="http://www.sec.gov/Archives/edgar/data/1585521/000119312519099813/d642624dex41.htm" TargetMode="External"/><Relationship Id="rId115" Type="http://schemas.openxmlformats.org/officeDocument/2006/relationships/hyperlink" Target="http://www.sec.gov/Archives/edgar/data/1585521/000119312519083351/d642624dex42.htm" TargetMode="External"/><Relationship Id="rId116" Type="http://schemas.openxmlformats.org/officeDocument/2006/relationships/hyperlink" Target="http://www.sec.gov/Archives/edgar/data/1585521/000119312519083351/d642624dex101.htm" TargetMode="External"/><Relationship Id="rId117" Type="http://schemas.openxmlformats.org/officeDocument/2006/relationships/hyperlink" Target="http://www.sec.gov/Archives/edgar/data/1585521/000119312519099813/d642624dex102.htm" TargetMode="External"/><Relationship Id="rId118" Type="http://schemas.openxmlformats.org/officeDocument/2006/relationships/hyperlink" Target="https://www.sec.gov/Archives/edgar/data/1585521/000158552120000238/a20200731-10qxex103.htm" TargetMode="External"/><Relationship Id="rId119" Type="http://schemas.openxmlformats.org/officeDocument/2006/relationships/hyperlink" Target="https://www.sec.gov/Archives/edgar/data/1585521/000158552120000299/zm-20201031xex101.htm" TargetMode="External"/><Relationship Id="rId120" Type="http://schemas.openxmlformats.org/officeDocument/2006/relationships/hyperlink" Target="http://www.sec.gov/Archives/edgar/data/1585521/000119312519099813/d642624dex103.htm" TargetMode="External"/><Relationship Id="rId121" Type="http://schemas.openxmlformats.org/officeDocument/2006/relationships/hyperlink" Target="https://www.sec.gov/Archives/edgar/data/1585521/000119312519083351/d642624dex104.htm" TargetMode="External"/><Relationship Id="rId122" Type="http://schemas.openxmlformats.org/officeDocument/2006/relationships/hyperlink" Target="https://www.sec.gov/Archives/edgar/data/1585521/000158552121000235/exhibit101.htm" TargetMode="External"/><Relationship Id="rId123" Type="http://schemas.openxmlformats.org/officeDocument/2006/relationships/hyperlink" Target="http://www.sec.gov/Archives/edgar/data/1585521/000158552119000020/exhibit102_2019eiprsuexe.htm" TargetMode="External"/><Relationship Id="rId124" Type="http://schemas.openxmlformats.org/officeDocument/2006/relationships/hyperlink" Target="http://www.sec.gov/Archives/edgar/data/1585521/000158552119000020/exhibit103_2019eiprsunon.htm" TargetMode="External"/><Relationship Id="rId125" Type="http://schemas.openxmlformats.org/officeDocument/2006/relationships/hyperlink" Target="http://www.sec.gov/Archives/edgar/data/1585521/000119312519083351/d642624dex105.htm" TargetMode="External"/><Relationship Id="rId126" Type="http://schemas.openxmlformats.org/officeDocument/2006/relationships/hyperlink" Target="http://www.sec.gov/Archives/edgar/data/1585521/000119312519083351/d642624dex106.htm" TargetMode="External"/><Relationship Id="rId127" Type="http://schemas.openxmlformats.org/officeDocument/2006/relationships/hyperlink" Target="http://www.sec.gov/Archives/edgar/data/1585521/000119312519083351/d642624dex107.htm" TargetMode="External"/><Relationship Id="rId128" Type="http://schemas.openxmlformats.org/officeDocument/2006/relationships/hyperlink" Target="http://www.sec.gov/Archives/edgar/data/1585521/000119312519083351/d642624dex108.htm" TargetMode="External"/><Relationship Id="rId129" Type="http://schemas.openxmlformats.org/officeDocument/2006/relationships/hyperlink" Target="http://www.sec.gov/Archives/edgar/data/1585521/000158552119000020/exhibit104_azusoffer.htm" TargetMode="External"/><Relationship Id="rId130" Type="http://schemas.openxmlformats.org/officeDocument/2006/relationships/hyperlink" Target="https://www.sec.gov/Archives/edgar/data/1585521/000158552120000238/zm20200731ex101.htm" TargetMode="External"/><Relationship Id="rId131" Type="http://schemas.openxmlformats.org/officeDocument/2006/relationships/hyperlink" Target="https://www.sec.gov/Archives/edgar/data/1585521/000158552120000238/zm-20200731x10qxex102.htm" TargetMode="External"/><Relationship Id="rId132" Type="http://schemas.openxmlformats.org/officeDocument/2006/relationships/hyperlink" Target="https://www.sec.gov/Archives/edgar/data/1585521/000158552121000048/ex1017_napolitanoofferlett.htm" TargetMode="External"/><Relationship Id="rId133" Type="http://schemas.openxmlformats.org/officeDocument/2006/relationships/hyperlink" Target="https://www.sec.gov/Archives/edgar/data/1585521/000119312519083351/d642624dex109.htm" TargetMode="External"/><Relationship Id="rId134" Type="http://schemas.openxmlformats.org/officeDocument/2006/relationships/hyperlink" Target="http://www.sec.gov/Archives/edgar/data/1585521/000158552119000020/exhibit105_lease4thamend.htm" TargetMode="External"/><Relationship Id="rId135" Type="http://schemas.openxmlformats.org/officeDocument/2006/relationships/hyperlink" Target="https://www.sec.gov/Archives/edgar/data/1585521/000158552120000154/zm-20200430xex101xexport.htm" TargetMode="External"/><Relationship Id="rId136" Type="http://schemas.openxmlformats.org/officeDocument/2006/relationships/hyperlink" Target="http://www.sec.gov/Archives/edgar/data/1585521/000119312519099813/d64262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2022-03-07T15:06:47Z</dcterms:created>
  <dcterms:modified xsi:type="dcterms:W3CDTF">2022-03-07T15:06:47Z</dcterms:modified>
</cp:coreProperties>
</file>