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240" w:after="283"/>
        <w:jc w:val="center"/>
        <w:rPr>
          <w:rFonts w:ascii="Times New Roman;sans-serif" w:hAnsi="Times New Roman;sans-serif"/>
          <w:b/>
          <w:color w:val="000000"/>
          <w:sz w:val="30"/>
        </w:rPr>
      </w:pPr>
      <w:r>
        <w:rPr>
          <w:rFonts w:ascii="Times New Roman;sans-serif" w:hAnsi="Times New Roman;sans-serif"/>
          <w:b/>
          <w:color w:val="000000"/>
          <w:sz w:val="30"/>
        </w:rPr>
        <w:t>FORM 10-K</w:t>
      </w:r>
    </w:p>
    <w:p>
      <w:pPr>
        <w:pStyle w:val="TextBody"/>
        <w:bidi w:val="0"/>
        <w:spacing w:lineRule="auto" w:line="30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January 31, 2024 </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color w:val="000000"/>
        </w:rPr>
        <w:t xml:space="preserve"> </w:t>
      </w:r>
    </w:p>
    <w:p>
      <w:pPr>
        <w:pStyle w:val="TextBody"/>
        <w:bidi w:val="0"/>
        <w:spacing w:lineRule="auto" w:line="288" w:before="5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001-38865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50" w:after="283"/>
        <w:jc w:val="center"/>
        <w:rPr>
          <w:rFonts w:ascii="Times New Roman;sans-serif" w:hAnsi="Times New Roman;sans-serif"/>
          <w:b/>
          <w:color w:val="000000"/>
          <w:sz w:val="36"/>
        </w:rPr>
      </w:pPr>
      <w:r>
        <w:rPr>
          <w:rFonts w:ascii="Times New Roman;sans-serif" w:hAnsi="Times New Roman;sans-serif"/>
          <w:b/>
          <w:color w:val="000000"/>
          <w:sz w:val="36"/>
        </w:rPr>
        <w:t>Zoom Video Communications,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tbl>
      <w:tblPr>
        <w:tblW w:w="4200" w:type="dxa"/>
        <w:jc w:val="center"/>
        <w:tblInd w:w="0" w:type="dxa"/>
        <w:tblLayout w:type="fixed"/>
        <w:tblCellMar>
          <w:top w:w="28" w:type="dxa"/>
          <w:left w:w="28" w:type="dxa"/>
          <w:bottom w:w="28" w:type="dxa"/>
          <w:right w:w="28" w:type="dxa"/>
        </w:tblCellMar>
      </w:tblPr>
      <w:tblGrid>
        <w:gridCol w:w="954"/>
        <w:gridCol w:w="841"/>
        <w:gridCol w:w="845"/>
        <w:gridCol w:w="455"/>
        <w:gridCol w:w="455"/>
        <w:gridCol w:w="650"/>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61-1648780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w:t>
              <w:br/>
              <w:t>of 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p>
      <w:pPr>
        <w:pStyle w:val="TextBody"/>
        <w:bidi w:val="0"/>
        <w:spacing w:lineRule="auto" w:line="288" w:before="50" w:after="283"/>
        <w:jc w:val="center"/>
        <w:rPr/>
      </w:pPr>
      <w:r>
        <w:rPr>
          <w:rFonts w:ascii="Times New Roman;sans-serif" w:hAnsi="Times New Roman;sans-serif"/>
          <w:b/>
          <w:color w:val="000000"/>
          <w:sz w:val="20"/>
        </w:rPr>
        <w:t>55 Almaden Boulevard, 6</w:t>
      </w:r>
      <w:r>
        <w:rPr>
          <w:rFonts w:ascii="Times New Roman;sans-serif" w:hAnsi="Times New Roman;sans-serif"/>
          <w:b/>
          <w:color w:val="000000"/>
          <w:sz w:val="18"/>
        </w:rPr>
        <w:t>th</w:t>
      </w:r>
      <w:r>
        <w:rPr>
          <w:color w:val="000000"/>
        </w:rPr>
        <w:t xml:space="preserve"> </w:t>
      </w:r>
      <w:r>
        <w:rPr>
          <w:rFonts w:ascii="Times New Roman;sans-serif" w:hAnsi="Times New Roman;sans-serif"/>
          <w:b/>
          <w:color w:val="000000"/>
          <w:sz w:val="20"/>
        </w:rPr>
        <w:t>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 95113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and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(888) 799-9666</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396" w:type="dxa"/>
        <w:jc w:val="center"/>
        <w:tblInd w:w="0" w:type="dxa"/>
        <w:tblLayout w:type="fixed"/>
        <w:tblCellMar>
          <w:top w:w="28" w:type="dxa"/>
          <w:left w:w="28" w:type="dxa"/>
          <w:bottom w:w="28" w:type="dxa"/>
          <w:right w:w="28" w:type="dxa"/>
        </w:tblCellMar>
      </w:tblPr>
      <w:tblGrid>
        <w:gridCol w:w="1339"/>
        <w:gridCol w:w="1179"/>
        <w:gridCol w:w="1186"/>
        <w:gridCol w:w="109"/>
        <w:gridCol w:w="109"/>
        <w:gridCol w:w="109"/>
        <w:gridCol w:w="519"/>
        <w:gridCol w:w="519"/>
        <w:gridCol w:w="521"/>
        <w:gridCol w:w="109"/>
        <w:gridCol w:w="109"/>
        <w:gridCol w:w="109"/>
        <w:gridCol w:w="1019"/>
        <w:gridCol w:w="1019"/>
        <w:gridCol w:w="144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if the registrant is a well-known seasoned issuer, as defined in Rule 405 of the Securities Act.    Yes ☒     No ☐ </w:t>
      </w:r>
    </w:p>
    <w:p>
      <w:pPr>
        <w:pStyle w:val="TextBody"/>
        <w:bidi w:val="0"/>
        <w:spacing w:lineRule="auto" w:line="288" w:before="50" w:after="283"/>
        <w:jc w:val="both"/>
        <w:rPr/>
      </w:pPr>
      <w:r>
        <w:rPr>
          <w:rFonts w:ascii="Times New Roman;sans-serif" w:hAnsi="Times New Roman;sans-serif"/>
          <w:b w:val="false"/>
          <w:color w:val="000000"/>
          <w:sz w:val="16"/>
        </w:rPr>
        <w:t>Indicate by check mark if the registrant is not required to file reports pursuant to Section 13 or Section 15(d) of the Act. </w:t>
      </w:r>
      <w:r>
        <w:rPr>
          <w:color w:val="000000"/>
        </w:rPr>
        <w:t>  </w:t>
      </w:r>
      <w:r>
        <w:rPr>
          <w:rFonts w:ascii="Times New Roman;sans-serif" w:hAnsi="Times New Roman;sans-serif"/>
          <w:b w:val="false"/>
          <w:color w:val="000000"/>
          <w:sz w:val="16"/>
        </w:rPr>
        <w:t xml:space="preserve">Yes ☐     No ☒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5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6"/>
        </w:rPr>
        <w:t>Yes  ☒    No   ☐</w:t>
      </w:r>
    </w:p>
    <w:p>
      <w:pPr>
        <w:pStyle w:val="TextBody"/>
        <w:bidi w:val="0"/>
        <w:spacing w:lineRule="auto" w:line="288" w:before="5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w:t>
      </w:r>
      <w:r>
        <w:rPr>
          <w:color w:val="000000"/>
        </w:rPr>
        <w:t xml:space="preserve">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283"/>
        <w:jc w:val="left"/>
        <w:rPr/>
      </w:pPr>
      <w:r>
        <w:rPr>
          <w:rFonts w:ascii="Times New Roman;sans-serif" w:hAnsi="Times New Roman;sans-serif"/>
          <w:b w:val="false"/>
          <w:color w:val="000000"/>
          <w:sz w:val="16"/>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Class A common stock held by non-affiliates of the registrant, based on the closing price of a share of the registrant's Class A common stock on July 31, 2023 as reported by the Nasdaq Global Select Market on such date was approximately $18.6 billion. This calculation does not reflect a determination that certain persons are affiliates of the registrant for any other purpose.</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16, 2024, the number of shares of the registrant’s Class A common stock outstanding was 260,899,571 and the number of shares of the registrant’s Class B common stock outstanding was 46,660,091.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Auditor Name: KPMG LLP Auditor Location: San Francisco, California Auditor Firm ID: 185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8"/>
        <w:gridCol w:w="253"/>
        <w:gridCol w:w="254"/>
        <w:gridCol w:w="2941"/>
        <w:gridCol w:w="2929"/>
        <w:gridCol w:w="2966"/>
        <w:gridCol w:w="167"/>
        <w:gridCol w:w="167"/>
        <w:gridCol w:w="24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9">
              <w:r>
                <w:rPr>
                  <w:rStyle w:val="InternetLink"/>
                  <w:rFonts w:ascii="Times New Roman;sans-serif" w:hAnsi="Times New Roman;sans-serif"/>
                  <w:b w:val="false"/>
                  <w:color w:val="0000FF"/>
                  <w:sz w:val="20"/>
                  <w:u w:val="single"/>
                </w:rPr>
                <w:t>Business</w:t>
              </w:r>
            </w:hyperlink>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45afef249804d8da0e74b876c5e7a95_19">
              <w:r>
                <w:rPr>
                  <w:rStyle w:val="InternetLink"/>
                  <w:rFonts w:ascii="Times New Roman;sans-serif" w:hAnsi="Times New Roman;sans-serif"/>
                  <w:b w:val="false"/>
                  <w:color w:val="0000FF"/>
                  <w:sz w:val="20"/>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22">
              <w:r>
                <w:rPr>
                  <w:rStyle w:val="InternetLink"/>
                  <w:rFonts w:ascii="Times New Roman;sans-serif" w:hAnsi="Times New Roman;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22">
              <w:r>
                <w:rPr>
                  <w:rStyle w:val="InternetLink"/>
                  <w:rFonts w:ascii="Times New Roman;sans-serif" w:hAnsi="Times New Roman;sans-serif"/>
                  <w:b w:val="false"/>
                  <w:color w:val="0000FF"/>
                  <w:sz w:val="20"/>
                  <w:u w:val="single"/>
                </w:rPr>
                <w:t>14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25">
              <w:r>
                <w:rPr>
                  <w:rStyle w:val="InternetLink"/>
                  <w:rFonts w:ascii="Times New Roman;sans-serif" w:hAnsi="Times New Roman;sans-serif"/>
                  <w:b w:val="false"/>
                  <w:color w:val="0000FF"/>
                  <w:sz w:val="20"/>
                  <w:u w:val="singl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25">
              <w:r>
                <w:rPr>
                  <w:rStyle w:val="InternetLink"/>
                  <w:rFonts w:ascii="Times New Roman;sans-serif" w:hAnsi="Times New Roman;sans-serif"/>
                  <w:b w:val="false"/>
                  <w:color w:val="0000FF"/>
                  <w:sz w:val="20"/>
                  <w:u w:val="single"/>
                </w:rPr>
                <w:t>47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103">
              <w:r>
                <w:rPr>
                  <w:rStyle w:val="InternetLink"/>
                  <w:rFonts w:ascii="Times New Roman;sans-serif" w:hAnsi="Times New Roman;sans-serif"/>
                  <w:b w:val="false"/>
                  <w:color w:val="0000FF"/>
                  <w:sz w:val="20"/>
                  <w:u w:val="single"/>
                </w:rPr>
                <w:t>Cybersecurity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103">
              <w:r>
                <w:rPr>
                  <w:rStyle w:val="InternetLink"/>
                  <w:rFonts w:ascii="Times New Roman;sans-serif" w:hAnsi="Times New Roman;sans-serif"/>
                  <w:b w:val="false"/>
                  <w:color w:val="0000FF"/>
                  <w:sz w:val="20"/>
                  <w:u w:val="single"/>
                </w:rPr>
                <w:t>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28">
              <w:r>
                <w:rPr>
                  <w:rStyle w:val="InternetLink"/>
                  <w:rFonts w:ascii="Times New Roman;sans-serif" w:hAnsi="Times New Roman;sans-serif"/>
                  <w:b w:val="false"/>
                  <w:color w:val="0000FF"/>
                  <w:sz w:val="20"/>
                  <w:u w:val="singl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28">
              <w:r>
                <w:rPr>
                  <w:rStyle w:val="InternetLink"/>
                  <w:rFonts w:ascii="Times New Roman;sans-serif" w:hAnsi="Times New Roman;sans-serif"/>
                  <w:b w:val="false"/>
                  <w:color w:val="0000FF"/>
                  <w:sz w:val="20"/>
                  <w:u w:val="single"/>
                </w:rPr>
                <w:t>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31">
              <w:r>
                <w:rPr>
                  <w:rStyle w:val="InternetLink"/>
                  <w:rFonts w:ascii="Times New Roman;sans-serif" w:hAnsi="Times New Roman;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31">
              <w:r>
                <w:rPr>
                  <w:rStyle w:val="InternetLink"/>
                  <w:rFonts w:ascii="Times New Roman;sans-serif" w:hAnsi="Times New Roman;sans-serif"/>
                  <w:b w:val="false"/>
                  <w:color w:val="0000FF"/>
                  <w:sz w:val="20"/>
                  <w:u w:val="single"/>
                </w:rPr>
                <w:t>48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34">
              <w:r>
                <w:rPr>
                  <w:rStyle w:val="InternetLink"/>
                  <w:rFonts w:ascii="Times New Roman;sans-serif" w:hAnsi="Times New Roman;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34">
              <w:r>
                <w:rPr>
                  <w:rStyle w:val="InternetLink"/>
                  <w:rFonts w:ascii="Times New Roman;sans-serif" w:hAnsi="Times New Roman;sans-serif"/>
                  <w:b w:val="false"/>
                  <w:color w:val="0000FF"/>
                  <w:sz w:val="20"/>
                  <w:u w:val="single"/>
                </w:rPr>
                <w:t>49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40">
              <w:r>
                <w:rPr>
                  <w:rStyle w:val="InternetLink"/>
                  <w:rFonts w:ascii="Times New Roman;sans-serif" w:hAnsi="Times New Roman;sans-serif"/>
                  <w:b w:val="false"/>
                  <w:color w:val="0000FF"/>
                  <w:sz w:val="20"/>
                  <w:u w:val="single"/>
                </w:rPr>
                <w:t>49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43">
              <w:r>
                <w:rPr>
                  <w:rStyle w:val="InternetLink"/>
                  <w:rFonts w:ascii="Times New Roman;sans-serif" w:hAnsi="Times New Roman;sans-serif"/>
                  <w:b w:val="false"/>
                  <w:color w:val="0000FF"/>
                  <w:sz w:val="20"/>
                  <w:u w:val="single"/>
                </w:rPr>
                <w:t>[Reserved]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43">
              <w:r>
                <w:rPr>
                  <w:rStyle w:val="InternetLink"/>
                  <w:rFonts w:ascii="Times New Roman;sans-serif" w:hAnsi="Times New Roman;sans-serif"/>
                  <w:b w:val="false"/>
                  <w:color w:val="0000FF"/>
                  <w:sz w:val="20"/>
                  <w:u w:val="single"/>
                </w:rPr>
                <w:t>50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49">
              <w:r>
                <w:rPr>
                  <w:rStyle w:val="InternetLink"/>
                  <w:rFonts w:ascii="Times New Roman;sans-serif" w:hAnsi="Times New Roman;sans-serif"/>
                  <w:b w:val="false"/>
                  <w:color w:val="0000FF"/>
                  <w:sz w:val="20"/>
                  <w:u w:val="single"/>
                </w:rPr>
                <w:t>50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91">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91">
              <w:r>
                <w:rPr>
                  <w:rStyle w:val="InternetLink"/>
                  <w:rFonts w:ascii="Times New Roman;sans-serif" w:hAnsi="Times New Roman;sans-serif"/>
                  <w:b w:val="false"/>
                  <w:color w:val="0000FF"/>
                  <w:sz w:val="20"/>
                  <w:u w:val="single"/>
                </w:rPr>
                <w:t>62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94">
              <w:r>
                <w:rPr>
                  <w:rStyle w:val="InternetLink"/>
                  <w:rFonts w:ascii="Times New Roman;sans-serif" w:hAnsi="Times New Roman;sans-serif"/>
                  <w:b w:val="false"/>
                  <w:color w:val="0000FF"/>
                  <w:sz w:val="20"/>
                  <w:u w:val="singl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94">
              <w:r>
                <w:rPr>
                  <w:rStyle w:val="InternetLink"/>
                  <w:rFonts w:ascii="Times New Roman;sans-serif" w:hAnsi="Times New Roman;sans-serif"/>
                  <w:b w:val="false"/>
                  <w:color w:val="0000FF"/>
                  <w:sz w:val="20"/>
                  <w:u w:val="single"/>
                </w:rPr>
                <w:t>64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6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63">
              <w:r>
                <w:rPr>
                  <w:rStyle w:val="InternetLink"/>
                  <w:rFonts w:ascii="Times New Roman;sans-serif" w:hAnsi="Times New Roman;sans-serif"/>
                  <w:b w:val="false"/>
                  <w:color w:val="0000FF"/>
                  <w:sz w:val="20"/>
                  <w:u w:val="single"/>
                </w:rPr>
                <w:t>99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66">
              <w:r>
                <w:rPr>
                  <w:rStyle w:val="InternetLink"/>
                  <w:rFonts w:ascii="Times New Roman;sans-serif" w:hAnsi="Times New Roman;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66">
              <w:r>
                <w:rPr>
                  <w:rStyle w:val="InternetLink"/>
                  <w:rFonts w:ascii="Times New Roman;sans-serif" w:hAnsi="Times New Roman;sans-serif"/>
                  <w:b w:val="false"/>
                  <w:color w:val="0000FF"/>
                  <w:sz w:val="20"/>
                  <w:u w:val="single"/>
                </w:rPr>
                <w:t>99</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69">
              <w:r>
                <w:rPr>
                  <w:rStyle w:val="InternetLink"/>
                  <w:rFonts w:ascii="Times New Roman;sans-serif" w:hAnsi="Times New Roman;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69">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72">
              <w:r>
                <w:rPr>
                  <w:rStyle w:val="InternetLink"/>
                  <w:rFonts w:ascii="Times New Roman;sans-serif" w:hAnsi="Times New Roman;sans-serif"/>
                  <w:b w:val="false"/>
                  <w:color w:val="0000FF"/>
                  <w:sz w:val="20"/>
                  <w:u w:val="single"/>
                </w:rPr>
                <w:t>Disclosure Regarding Foreign Jurisdictions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72">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78">
              <w:r>
                <w:rPr>
                  <w:rStyle w:val="InternetLink"/>
                  <w:rFonts w:ascii="Times New Roman;sans-serif" w:hAnsi="Times New Roman;sans-serif"/>
                  <w:b w:val="false"/>
                  <w:color w:val="0000FF"/>
                  <w:sz w:val="20"/>
                  <w:u w:val="singl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78">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81">
              <w:r>
                <w:rPr>
                  <w:rStyle w:val="InternetLink"/>
                  <w:rFonts w:ascii="Times New Roman;sans-serif" w:hAnsi="Times New Roman;sans-serif"/>
                  <w:b w:val="false"/>
                  <w:color w:val="0000FF"/>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81">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8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84">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8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87">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90">
              <w:r>
                <w:rPr>
                  <w:rStyle w:val="InternetLink"/>
                  <w:rFonts w:ascii="Times New Roman;sans-serif" w:hAnsi="Times New Roman;sans-serif"/>
                  <w:b w:val="false"/>
                  <w:color w:val="0000FF"/>
                  <w:sz w:val="20"/>
                  <w:u w:val="single"/>
                </w:rPr>
                <w:t>Principal Accountant Fees and Services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90">
              <w:r>
                <w:rPr>
                  <w:rStyle w:val="InternetLink"/>
                  <w:rFonts w:ascii="Times New Roman;sans-serif" w:hAnsi="Times New Roman;sans-serif"/>
                  <w:b w:val="false"/>
                  <w:color w:val="0000FF"/>
                  <w:sz w:val="20"/>
                  <w:u w:val="single"/>
                </w:rPr>
                <w:t>100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96">
              <w:r>
                <w:rPr>
                  <w:rStyle w:val="InternetLink"/>
                  <w:rFonts w:ascii="Times New Roman;sans-serif" w:hAnsi="Times New Roman;sans-serif"/>
                  <w:b w:val="false"/>
                  <w:color w:val="0000FF"/>
                  <w:sz w:val="20"/>
                  <w:u w:val="single"/>
                </w:rPr>
                <w:t>Exhibits,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96">
              <w:r>
                <w:rPr>
                  <w:rStyle w:val="InternetLink"/>
                  <w:rFonts w:ascii="Times New Roman;sans-serif" w:hAnsi="Times New Roman;sans-serif"/>
                  <w:b w:val="false"/>
                  <w:color w:val="0000FF"/>
                  <w:sz w:val="20"/>
                  <w:u w:val="single"/>
                </w:rPr>
                <w:t>101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99">
              <w:r>
                <w:rPr>
                  <w:rStyle w:val="InternetLink"/>
                  <w:rFonts w:ascii="Times New Roman;sans-serif" w:hAnsi="Times New Roman;sans-serif"/>
                  <w:b w:val="false"/>
                  <w:color w:val="0000FF"/>
                  <w:sz w:val="20"/>
                  <w:u w:val="singl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99">
              <w:r>
                <w:rPr>
                  <w:rStyle w:val="InternetLink"/>
                  <w:rFonts w:ascii="Times New Roman;sans-serif" w:hAnsi="Times New Roman;sans-serif"/>
                  <w:b w:val="false"/>
                  <w:color w:val="0000FF"/>
                  <w:sz w:val="20"/>
                  <w:u w:val="single"/>
                </w:rPr>
                <w:t>103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202">
              <w:r>
                <w:rPr>
                  <w:rStyle w:val="InternetLink"/>
                  <w:rFonts w:ascii="Times New Roman;sans-serif" w:hAnsi="Times New Roman;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202">
              <w:r>
                <w:rPr>
                  <w:rStyle w:val="InternetLink"/>
                  <w:rFonts w:ascii="Times New Roman;sans-serif" w:hAnsi="Times New Roman;sans-serif"/>
                  <w:b w:val="false"/>
                  <w:color w:val="0000FF"/>
                  <w:sz w:val="20"/>
                  <w:u w:val="single"/>
                </w:rPr>
                <w:t>104</w:t>
              </w:r>
            </w:hyperlink>
          </w:p>
        </w:tc>
      </w:tr>
    </w:tbl>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scale under evolving macroeconomic conditions, such as high inflation, recessionary or uncertain environments and fluctuations in foreign currency exchange rates;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depends on our ability to attract new customers, retain and upsell additional products and new product categories to existing customers, and upgrade free users to one of our paid offerings. Any decline in new customers, renewals, or upgrades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revenue growth rate has fluctuated in prior periods, and may continue to decline in future periods.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delays, or outages in service from our co-located data centers and a variety of other factors, would impair the delivery of our services, require us to issue credits or pay penalties, and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respond to rapid technological changes, extend our platform or develop new features.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security measures, and those of the third parties upon which we rely,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our reputation and business or subject us to significant fines and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one platform that delivers limitless human connection. Our culture of delivering happiness drives our mission and values and is fundamental to everything we do at Zoom.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is an intelligent, secure collaboration platform that makes connecting easier, more immersive, and more dynamic for businesses and individuals. We’re committed to evolving our platform in ways that empower limitless human connection and solve real business problems. All of our product innovation has a unified goal: to help streamline the workday through effective communication and collaboration tools. The Zoom platform makes teamwork more meaningful, drives impact with intelligence, strengthens customer relationships, and enables seamless workflows. Additionally, trust is a cornerstone of the Zoom platform. We equip users with a comprehensive set of tools to make their interactions safe, secure, and private. We believe that strong security should never compromise a great user experience.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Businesses of all sizes and individuals alike choose Zoom over other industry players for several reasons: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We care for customers at Zoom speed:</w:t>
      </w:r>
      <w:r>
        <w:rPr>
          <w:color w:val="000000"/>
        </w:rPr>
        <w:t xml:space="preserve"> </w:t>
      </w:r>
      <w:r>
        <w:rPr>
          <w:rFonts w:ascii="Times New Roman;sans-serif" w:hAnsi="Times New Roman;sans-serif"/>
          <w:b w:val="false"/>
          <w:color w:val="000000"/>
          <w:sz w:val="20"/>
        </w:rPr>
        <w:t>Zoom puts customers first. We are committed to providing a platform and products that people love. We put innovation in customers' hands quickly to serve their needs.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Designed for hybrid work:</w:t>
      </w:r>
      <w:r>
        <w:rPr>
          <w:color w:val="000000"/>
        </w:rPr>
        <w:t xml:space="preserve"> </w:t>
      </w:r>
      <w:r>
        <w:rPr>
          <w:rFonts w:ascii="Times New Roman;sans-serif" w:hAnsi="Times New Roman;sans-serif"/>
          <w:b w:val="false"/>
          <w:color w:val="000000"/>
          <w:sz w:val="20"/>
        </w:rPr>
        <w:t xml:space="preserve">Zoom is the only platform designed for hybrid communication and today’s unique hybrid work needs. </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Zoom just works:</w:t>
      </w:r>
      <w:r>
        <w:rPr>
          <w:color w:val="000000"/>
        </w:rPr>
        <w:t xml:space="preserve"> </w:t>
      </w:r>
      <w:r>
        <w:rPr>
          <w:rFonts w:ascii="Times New Roman;sans-serif" w:hAnsi="Times New Roman;sans-serif"/>
          <w:b w:val="false"/>
          <w:color w:val="000000"/>
          <w:sz w:val="20"/>
        </w:rPr>
        <w:t>Ease of use is a core design principle, along with quality and reliability.</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Enterprise readiness:</w:t>
      </w:r>
      <w:r>
        <w:rPr>
          <w:color w:val="000000"/>
        </w:rPr>
        <w:t xml:space="preserve"> </w:t>
      </w:r>
      <w:r>
        <w:rPr>
          <w:rFonts w:ascii="Times New Roman;sans-serif" w:hAnsi="Times New Roman;sans-serif"/>
          <w:b w:val="false"/>
          <w:color w:val="000000"/>
          <w:sz w:val="20"/>
        </w:rPr>
        <w:t xml:space="preserve">Zoom is built to meet the needs of enterprises, with robust reliability, security, compliance, and privacy capabilities and policies. </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Cost-effective and value-focused:</w:t>
      </w:r>
      <w:r>
        <w:rPr>
          <w:color w:val="000000"/>
        </w:rPr>
        <w:t xml:space="preserve"> </w:t>
      </w:r>
      <w:r>
        <w:rPr>
          <w:rFonts w:ascii="Times New Roman;sans-serif" w:hAnsi="Times New Roman;sans-serif"/>
          <w:b w:val="false"/>
          <w:color w:val="000000"/>
          <w:sz w:val="20"/>
        </w:rPr>
        <w:t>The total cost of ownership of the Zoom platform, across the employee experience and customer experience, is less than that of our competitors.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Open platform:</w:t>
      </w:r>
      <w:r>
        <w:rPr>
          <w:color w:val="000000"/>
        </w:rPr>
        <w:t xml:space="preserve"> </w:t>
      </w:r>
      <w:r>
        <w:rPr>
          <w:rFonts w:ascii="Times New Roman;sans-serif" w:hAnsi="Times New Roman;sans-serif"/>
          <w:b w:val="false"/>
          <w:color w:val="000000"/>
          <w:sz w:val="20"/>
        </w:rPr>
        <w:t>The Zoom developer ecosystem enables customers to choose the apps and integrations they prefer. We offer more than 2,500 integrations, including with major software vendors.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We’re on a mission to reimagine the way we communicate and collaborate in a hybrid working world. Zoom brings employee and customer experience together into one platform that people love to use. Flagship products like Zoom Meetings, Zoom Phone, and Zoom Team Chat are among the core products on the platform that are critical to business communication and collaboration needs. We strive to continue building a platform that helps people work smarter, be more engaged with work, and better connect with each other. Artificial Intelligence (“AI”) has been core to Zoom’s product DNA over many years, grounded in our conviction that AI can make work more human by strengthening collaboration, productivity, and inclusivity.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Zoom continued to invest in AI and focused on three key areas regarding AI innovation: supporting individual productivity, powering better collaboration, and helping customer-facing teams delight their customers. We recently launched Zoom AI Companion, our smart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continues to be at the center of hybrid work. Our continued product innovation is laser-focused on supporting a hybrid work environment, with new innovations in areas such as document collaboration, hybrid workspaces, and employee communication. Our acquisition of Workvivo, an employee experience platform, deepened our commitment to creating a platform that is focused on connecting and engaging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Unlike most Contact Center as a Service (“CCaaS”) solutions that are only optimized for voice, Zoom Contact Center is an omnichannel cloud contact center platform that is optimized for video and intentionally supports a robust suite of channels, such as voice and video, SMS, and webchat. The result is a one-stop shop designed for customer experience leaders to deliver excellence to their customers and to strengthen workforce engagement.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happiness we deliver is recognized by our customers. Zoom has consistently earned high scores across customer review sites, Gartner Peer Insights, TrustRadius, and G2, including being recognized as a 2023 Top Rated Vendor in Unified Communications as a Service (“UCaaS”) by TrustRadius, and Leader badge for Zoom Contact Center by G2. Industry analysts also recognize our market leadership across our platform and products: Gartner has named Zoom a leader in the Magic Quadrant for UCaaS for the fourth year in a row, and Workvivo was named a leader in the Magic Quadrant for Intranet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Packaged Solutions. Forrester published its Forrester Wave for Conversational Intelligence, where Zoom Revenue Accelerator debuted as a Strong player. IDC named Zoom Events as a leader in its IDC MarketScape for Worldwide Virtual Events Applications. Zoom was also named to Fortune’s 2023 Most Admired Companies list for the third year in a row, and Fast Company’s 2022 Next Big Things in Tech list highlighted Zoom Events.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the following elements of our strategy to drive our growth:</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Keep our existing customers happy.</w:t>
      </w:r>
      <w:r>
        <w:rPr>
          <w:color w:val="000000"/>
        </w:rPr>
        <w:t xml:space="preserve"> </w:t>
      </w:r>
      <w:r>
        <w:rPr>
          <w:rFonts w:ascii="Times New Roman;sans-serif" w:hAnsi="Times New Roman;sans-serif"/>
          <w:b w:val="false"/>
          <w:color w:val="000000"/>
          <w:sz w:val="20"/>
        </w:rPr>
        <w:t>We deliver happiness to our customers by giving them an experience that delights them. We respond to 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 xml:space="preserve">Drive new customer acquisition. </w:t>
      </w:r>
      <w:r>
        <w:rPr>
          <w:rFonts w:ascii="Times New Roman;sans-serif" w:hAnsi="Times New Roman;sans-serif"/>
          <w:b w:val="false"/>
          <w:color w:val="000000"/>
          <w:sz w:val="20"/>
        </w:rPr>
        <w:t>Our platform is designed to make it easy to host meetings. By attracting free users to our platform, we promote usage that allows them and their meeting attendees to experience the Zoom difference.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 xml:space="preserve">Innovate our platform continuously. </w:t>
      </w:r>
      <w:r>
        <w:rPr>
          <w:rFonts w:ascii="Times New Roman;sans-serif" w:hAnsi="Times New Roman;sans-serif"/>
          <w:b w:val="false"/>
          <w:color w:val="000000"/>
          <w:sz w:val="20"/>
        </w:rPr>
        <w:t>Our engineers aim to stay on the cutting edge of communication and collaboration technologies. We strive to deliver the best experience to our users by dedicating a portion of engineering capacity to developing on-demand, customer-requested features that would be valuable across our customer base. Our core areas of focus will be bolstering innovation on products in the following categories: employee experience, customer experience, core communications and generative AI.</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 xml:space="preserve">Drive international expansion. </w:t>
      </w:r>
      <w:r>
        <w:rPr>
          <w:rFonts w:ascii="Times New Roman;sans-serif" w:hAnsi="Times New Roman;sans-serif"/>
          <w:b w:val="false"/>
          <w:color w:val="000000"/>
          <w:sz w:val="20"/>
        </w:rPr>
        <w:t>With users, offices, and data centers strategically located around the world, we are poised to reach new customers globally. Our platform is intuitively designed such that localization requirements are minimal. For example, our platform works without intensive translation requirements with only a few language adjustments to our user interface and support systems.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 xml:space="preserve">Expand within existing customers. </w:t>
      </w:r>
      <w:r>
        <w:rPr>
          <w:rFonts w:ascii="Times New Roman;sans-serif" w:hAnsi="Times New Roman;sans-serif"/>
          <w:b w:val="false"/>
          <w:color w:val="000000"/>
          <w:sz w:val="20"/>
        </w:rPr>
        <w:t>As organizations experience our platform and become familiar with its benefits, more teams and departments within these organizations adopt Zoom. Our platform may begin in a line of business and then organically expand across departments. This “land and expand” model has led to some of our largest deployments. Customers are also purchasing services for webinars, room solutions, phone, and contact center for a complete and integrated set of communications services.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Grow our developer ecosystem and continue to expand our platform.</w:t>
      </w:r>
      <w:r>
        <w:rPr>
          <w:color w:val="000000"/>
        </w:rPr>
        <w:t xml:space="preserve"> </w:t>
      </w:r>
      <w:r>
        <w:rPr>
          <w:rFonts w:ascii="Times New Roman;sans-serif" w:hAnsi="Times New Roman;sans-serif"/>
          <w:b w:val="false"/>
          <w:color w:val="000000"/>
          <w:sz w:val="20"/>
        </w:rPr>
        <w:t>Through the Zoom Developer ecosystem, we enable customers and their developers to build their own solutions with our underlying platform technology, seamlessly embed our platform into their own offerings, and integrate their applications across Zoom products using our extensive library of application program interfaces (“APIs”) and selection of software development kits (“SDKs”). Our app marketplace further extends the value and adoption of Zoom with our customers through the development and distribution of apps and integrations. We continue to partner with video conferencing hardware and peripheral providers, as well as with software providers, including Palo Alto Networks, Zendesk, and Box.</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unified communications and collaboration platform that delivers happiness and fundamentally changes how people interact, connecting them through frictionless and secure meetings, phone, chat, content sharing and more. Our products are grouped under the following categories, which are further described below: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Core Communications - Streamlining communications with an all-in-one app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AI - Driving impact with intelligence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Employee Experience - Making teamwork more meaningful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Customer Experience - Strengthening customer relationships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Developer Ecosystem - Enabling seamless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Core Communications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Zoom Meetings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Meetings provides HD video, voice, chat, and content sharing across mobile devices, desktops, laptops, telephones, and conference room systems. Our architecture can support up to 1,000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Box, Dropbox, Google, LinkedIn, Microsoft, Salesforce, ServiceNow, and Slack. Our meetings are a flexible tool for on-the-go employees who rely on their mobile device or tablet throughout their business day.</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end-to-end encryption (“E2EE”) option is available to free and paid Zoom customers globally who host meetings with up to 200 participants. Zoom’s E2EE uses the same 256-bit AES GCM encryption that secures Zoom meetings by default, but with Zoom’s E2EE, the meeting host generates encryption keys and uses public key cryptography to distribute these keys to the other meeting participants. Additionally, a customer managed key (“CMK”) service allows organizations to provide and manage their own encryption keys for certain customer content stored at rest in the Zoom Cloud. The organization needs to manage the keys in the Amazon Web Services Key Management Service. This allows for encryption of applicable content stored in the Zoom Cloud using the keys that the organization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Translated captions help to remove language barriers, connect people, and promote inclusivity in meetings and webinars. Zoom Meetings currently offers translated captions in 34 languages.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Phone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is a cloud phone system for businesses that provides private branch exchange (“PBX”) features, such as secure call routing, call queuing, call detail reports, call recording, call quality monitoring, voicemail, switch to video, and much more. Zoom Phone provides inbound and outbound calling via its support for native connectivity to the public switched telephone network (“PSTN”). Available stand-alone, or as an optional add-on to Zoom Meetings, Zoom Phone is a core component of our modern UCaaS strategy that enables customers to replace their existing PBX solution and consolidate all of their business communications and collaboration requirements onto Zoom. As of January 31, 2024, Zoom Phone provided native PSTN connectivity in more than 45 countries and territories.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also supports Premises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Provider Exchange makes it easier for customers to choose their preferred PSTN provider partners, providing an improved way to connect with cloud peering partners, promote the discovery of new providers, and enable self-service of phone numbers from your selected partner. As of January 31, 2024, there are more than 90 countries and territories included in the Provider Exchange program.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Team Chat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Team Chat, which is included in Zoom One and Zoom Phone plans, enables organizations and teams to communicate and collaborate in groups, channels, or 1-1s and to stay connected by instantly sharing messages, images, files, and other content across desktop, laptop, tablet, and mobile devices. With Zoom Team Chat, users can easily invite people outside their organization to a chat conversation, and quickly switch from a chat to a phone call or video meeting during a conversation. Zoom Team Chat also features content storage for users who want discoverability and the ability to review their conversations or shared files. There are dozens of Zoom Team Chat compatible applications available in the Zoom App Marketplace that provide notifications and improved workflow for other enterprise systems.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Zoom Mail and Calendar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Mail and Calendar includes both client experiences (Zoom Mail Client, Zoom Calendar Client) and service components (Zoom Mail Service, Zoom Calendar Service). Zoom Mail Client and Zoom Calendar Client can be used with third-party email and calendaring services from Microsoft or Google, or with Zoom Mail Service and Calendar Service. Zoom Mail Service and Zoom Calendar Service are Zoom-hosted offerings targeted at customers with up to 50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Zoom Scheduler</w:t>
      </w:r>
    </w:p>
    <w:p>
      <w:pPr>
        <w:pStyle w:val="TextBody"/>
        <w:bidi w:val="0"/>
        <w:spacing w:lineRule="auto" w:line="288" w:before="120" w:after="283"/>
        <w:ind w:left="0" w:right="0" w:firstLine="540"/>
        <w:jc w:val="both"/>
        <w:rPr>
          <w:rFonts w:ascii="Times New Roman;sans-serif" w:hAnsi="Times New Roman;sans-serif"/>
          <w:b w:val="false"/>
          <w:color w:val="232333"/>
          <w:sz w:val="20"/>
          <w:shd w:fill="FFFFFF" w:val="clear"/>
        </w:rPr>
      </w:pPr>
      <w:r>
        <w:rPr>
          <w:rFonts w:ascii="Times New Roman;sans-serif" w:hAnsi="Times New Roman;sans-serif"/>
          <w:b w:val="false"/>
          <w:color w:val="232333"/>
          <w:sz w:val="20"/>
          <w:shd w:fill="FFFFFF" w:val="clear"/>
        </w:rPr>
        <w:t>Zoom Scheduler makes it easier to share availability and book appointments with people outside an organization. Zoom’s scheduling software is designed to work seamlessly with Zoom Meetings and Zoom Mail and Calendar, and integrates with Google and Microsoft 365.</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AI</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Zoom AI Companion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Zoom AI Companion, launched in September 2023, is Zoom’s generative AI digital assistant that delivers real-time digital assistance to help users improve productivity and work together more effectively across Zoom Meetings, Zoom Team Chat, Zoom Email, Zoom Whiteboard and Zoom Events.</w:t>
      </w:r>
      <w:r>
        <w:rPr>
          <w:color w:val="000000"/>
        </w:rPr>
        <w:t xml:space="preserve"> </w:t>
      </w:r>
      <w:r>
        <w:rPr>
          <w:rFonts w:ascii="Times New Roman;sans-serif" w:hAnsi="Times New Roman;sans-serif"/>
          <w:b w:val="false"/>
          <w:color w:val="000000"/>
          <w:sz w:val="20"/>
        </w:rPr>
        <w:t>Zoom AI Companion uses a federated AI approach that incorporates Zoom’s own large language models with third-party models to deliver high-quality results and lower customer costs. Zoom AI Companion is included at no additional cost for customers with the paid services in their Zoom user accounts.</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Employee Experience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Zoom Rooms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Rooms is our software-based conference room system that transforms every room – from executive offices, huddle rooms, training rooms, to broadcast studios – into a collaboration space that is easy to use, simple to deploy, and low-effort to manage. Designed to increase workforce collaboration across in-room and virtual participants, Zoom Rooms brings one-click to join meetings, wireless multi-sharing, interactive whiteboarding, intuitive room controls and other features to the Zoom Meeting experience.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Rooms includes Scheduling Display to simplify the room booking experience, and Digital Signage to share images, video, and URL content that can be managed remotely by role-based admins for multiple displays on the network. Zoom Rooms Kiosk mode enables virtual receptionists and the ability to display content and custom messages to match the environment and purpose.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Workspace Reservation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Zoom Workspace Reservation is a service that enables the management of physical spaces with tools for customers to reserve and manage their workspace utilization by connecting users to workspaces.</w:t>
      </w:r>
      <w:r>
        <w:rPr>
          <w:color w:val="000000"/>
        </w:rPr>
        <w:t xml:space="preserve"> </w:t>
      </w:r>
      <w:r>
        <w:rPr>
          <w:rFonts w:ascii="Times New Roman;sans-serif" w:hAnsi="Times New Roman;sans-serif"/>
          <w:b w:val="false"/>
          <w:color w:val="000000"/>
          <w:sz w:val="20"/>
        </w:rPr>
        <w:t>It enhances and streamlines hotdesking and hoteling experiences and can provide recommendations for a workspace location or time to reserve. Users can reserve a work location time and duration in advance or on-demand by selecting a location on a floor plan. Administrators can learn more about the utilization of their workspaces to support planning and optimization of their locations.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Docs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Docs is a dedicated, modular, AI-powered workspace for efficient, dynamic hybrid collaboration. With Zoom Docs, users get a singular workspace designed to bring their teams together to share ideas and get more done, all powered by AI. It helps tie together our collection of communication modalities, with online word processing now threaded throughout the Zoom platform.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Whiteboard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Whiteboard is an interactive canvas, allowing teams to collaborate and brainstorm through the use of templates, drag and drop shapes and objects, text, diagramming tools, and integrations with third party services. Zoom Whiteboard is a persistent collaboration tool that works across Zoom Meetings, Zoom Team Chat, Zoom Rooms for Touch, Zoom desktop and mobile apps, and web browsers. Whiteboards can be shared with internal and external participants.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Notes</w:t>
      </w:r>
    </w:p>
    <w:p>
      <w:pPr>
        <w:pStyle w:val="TextBody"/>
        <w:bidi w:val="0"/>
        <w:spacing w:lineRule="auto" w:line="288" w:before="120" w:after="283"/>
        <w:ind w:left="0" w:right="0" w:firstLine="540"/>
        <w:jc w:val="both"/>
        <w:rPr>
          <w:rFonts w:ascii="Times New Roman;sans-serif" w:hAnsi="Times New Roman;sans-serif"/>
          <w:b w:val="false"/>
          <w:color w:val="232333"/>
          <w:sz w:val="20"/>
          <w:shd w:fill="FFFFFF" w:val="clear"/>
        </w:rPr>
      </w:pPr>
      <w:r>
        <w:rPr>
          <w:rFonts w:ascii="Times New Roman;sans-serif" w:hAnsi="Times New Roman;sans-serif"/>
          <w:b w:val="false"/>
          <w:color w:val="232333"/>
          <w:sz w:val="20"/>
          <w:shd w:fill="FFFFFF" w:val="clear"/>
        </w:rPr>
        <w:t>Zoom Notes is a new workspace to create and collaborate before, during, and after meetings. Zoom Notes allows users to create and share content within a Zoom Meeting and collaborate with others on the call for real-time inputs—eliminating the distraction of jumping between Zoom and third-party documents and tools. Users can even continue to work in Notes outside of meetings asynchronously and share them for collaboration anytime, anywhere. Zoom Notes is available to all users at no additional cost.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Clips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Zoom Clips is a convenient solution for capturing both video and screen content. Zoom Clips enables users to effortlessly and quickly record, edit, share, store, and analyze short video “clips,” as well as comment/react to other user’s clips, to keep the collaboration going. Clips are particularly valuable when demonstrating or showcasing product features or functionalities.</w:t>
      </w:r>
      <w:r>
        <w:rPr>
          <w:color w:val="000000"/>
        </w:rPr>
        <w:t xml:space="preserve"> </w:t>
      </w:r>
      <w:r>
        <w:rPr>
          <w:rFonts w:ascii="Times New Roman;sans-serif" w:hAnsi="Times New Roman;sans-serif"/>
          <w:b w:val="false"/>
          <w:color w:val="000000"/>
          <w:sz w:val="20"/>
        </w:rPr>
        <w:t>Zoom Clips is included with the Zoom One plan.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Workvivo</w:t>
      </w:r>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Workvivo is an employee experience service that combines internal communication and engagement tools, a social intranet, and an employee app. Workvivo provides a new way for customers to keep their employees informed, engaged, and connected. Workvivo consists of a monthly subscription and optional add-on features for an additional fee.</w:t>
      </w:r>
    </w:p>
    <w:p>
      <w:pPr>
        <w:pStyle w:val="TextBody"/>
        <w:bidi w:val="0"/>
        <w:spacing w:lineRule="auto" w:line="268" w:before="24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Customer Experience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Zoom Contact Center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Contact Center is an omnichannel, AI powered solution that helps empower and upskill agents, improve operational effectiveness and strengthen customer relationships. Built on Zoom’s reliable and secure platform, Zoom Contact Center enriches customer engagement by delivering highly personalized and seamless customer journeys across all channels.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Zoom Virtual Agent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Virtual Agent is an intelligent conversational AI and chatbot solution that uses natural language processing and machine learning to accurately understand and instantly resolve issues for customers.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Workforce Engagement Management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Zoom’s Workforce Engagement Management suite is designed to improve agent performance and engagement, supercharge contact center operational efficiency, reduce supervisor workloads, and ultimately deliver a better customer experience - all within a single product suite.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Revenue Accelerator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Revenue Accelerator is conversation intelligence software for Zoom Meetings and Zoom Phone, which provides sales teams with meaningful and actionable insights from their customer interactions to improve seller performance and enhance customer experiences by reconciling call analytics with CRM data.</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Zoom Event</w:t>
      </w:r>
      <w:r>
        <w:rPr>
          <w:rFonts w:ascii="Times New Roman;sans-serif" w:hAnsi="Times New Roman;sans-serif"/>
          <w:b w:val="false"/>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Built on Zoom’s reliable and secure video technology, Zoom Events allows event hosts to seamlessly create and manage virtual and hybrid events of any size. Zoom Events offers features such as event hubs, dedicated corporate event spaces, customizable registration and ticketing, attendee networking, Expo Floor and event analytics. This comprehensive solution is designed to simplify how users manage, host, market, and report on all of their virtual and hybrid events.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Sessions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Sessions allows customers to use the signature features of Zoom Events for a single-session event, including branded registration and event pages, live polling, surveys and chat, advanced reporting and the ability to organize upcoming and past events in one place.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Zoom Webinars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Webinars support interactive video presentations to large audiences from almost anywhere in the world and from many devices. Zoom Webinars can scale up to 100,000 attendees and 1,000 interactive video panelists. With webinars, customers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pStyle w:val="TextBody"/>
        <w:bidi w:val="0"/>
        <w:spacing w:lineRule="auto" w:line="288" w:before="24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Developer Ecosystem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Zoom Developer Platform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Zoom Developer Platform enables developers, platform integrators, service providers, and customers to easily build apps and integrations that use Zoom’s video-based communications solutions across video, phone, and chat, or integrate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usage metrics. With our SDKs, APIs, webhooks and extensive developer resources, Zoom, third-party developers, and partners build applications that integrate our platform with other globally in-demand applications, platforms, websites, and services. Our customers also have access to tools and resources to develop private applications that integrate Zoom and Zoom technology into their workflows and systems.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App Marketplace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Our App Marketplace brings together integrations built by Zoom and third-party developers, making it easy for developers to publish their apps and for customers to enhance their Zoom experience with new functionalities. The App Marketplace features third-party integrations connecting Zoom with</w:t>
      </w:r>
      <w:r>
        <w:rPr>
          <w:color w:val="000000"/>
        </w:rPr>
        <w:t xml:space="preserve"> </w:t>
      </w:r>
      <w:r>
        <w:rPr>
          <w:rFonts w:ascii="Times New Roman;sans-serif" w:hAnsi="Times New Roman;sans-serif"/>
          <w:b w:val="false"/>
          <w:color w:val="000000"/>
          <w:sz w:val="20"/>
        </w:rPr>
        <w:t>best of breed apps, Zoom Apps (third-party apps integrated into the Zoom experience) and SDK apps, including apps built by ISV program partners using our Meeting SDK. Key integrations include Google Workspace, Calendly, Slack, Microsoft Teams, Salesforce, Otter.ai, Hubspot, Asana, Kahoot! and Miro.</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Apps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Apps combine users’ favorite apps with the power of video communications by allowing users to access them directly in Zoom Meetings. Users can enrich their Zoom experience with a variety of apps that cover many use cases, including whiteboarding, project management, note-taking, gaming, and more. Zoom Essential Apps, launched January 2023, provides access to a curated list of apps at no cost for one year after app activation for Zoom One Pro, Business and Business Plus users to enhance their Zoom experience such as through visual agendas, automated tools to keep meetings on track and interactive activities to add energy and fun to meetings.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Technology and Infrastructure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unique technology and infrastructure enable best-in-class reliability, scalability, and performance. We designed our communications and collaboration platform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customers of all sizes, from individuals to global Fortune 50 organizations. Our current customer base spans numerous industry categories, including education, entertainment/media, enterprise infrastructure, finance, government, health care, manufacturing, nonprofit/not for profit and social impact, retail/consumer products, and software/internet. No individual customer represented more than 10% of our total revenue in the fiscal year ended January 31, 2024.</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sales model combines our viral demand generation and our free Zoom Meetings plan with a sales approach optimized for the size of each customer opportunity. Our direct sales force includes our field sales representatives as well as our inside sales team, and it is organized by customer subscription size, region, and vertical. Our channel team coordinates the activities of resellers and strategic partners to build a strong ecosystem that broadens our reach. Our online channel supports high-volume, high-velocity, self-service sales.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team’s primary objective is to create preference for our brand by leveraging our brand recognition, enhancing brand perception, and engaging our users with virtual events, content, social media, and customer advisory councils. We implement targeted online and out-of-home advertising. Our events strategy is based on a combination of online, in-person and hybrid approaches. Zoomtopia, our annual user conference, provides a hybrid experience for tens of thousands of in-person and virtual attendees.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drive our business with constant innovation. We have research and development presence in China, India, Singapore and the United States, which we believe is a strategic advantage for us, allowing us to invest more in increasing our product capabilities in an efficient manner with a “follow the sun” strategy. For information on the risks associated with our international operations, see “Risks Related to Our Business and Our Industry” under “Item 1A - Risk Factors.”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operate are highly competitive. We face competition from legacy web-based meeting services providers, including Cisco Webex and GoTo, bundled productivity solution providers with video functionality, including Google Workspace and Microsoft Teams, and UCaaS and legacy PBX providers, including 8x8, Avaya, and RingCentral, as well as consumer-facing platforms that can support small- or medium-sized businesses, including Amazon, Apple, and Facebook. Additionally, as we build out Zoom Contact Center, we may face additional competition, including from Five9, Inc., Genesys and NICE inContact.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based on the following competitive factors:</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video-first platform;</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cloud-native architecture;</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functionality and scalability;</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ease of use and reliability;</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brand awareness and preference;</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ability to utilize existing infrastructure, such as legacy conference room hardware; and</w:t>
      </w:r>
    </w:p>
    <w:p>
      <w:pPr>
        <w:pStyle w:val="TextBody"/>
        <w:bidi w:val="0"/>
        <w:spacing w:lineRule="auto" w:line="288" w:before="120" w:after="283"/>
        <w:ind w:left="0" w:right="0" w:hanging="720"/>
        <w:jc w:val="both"/>
        <w:rPr/>
      </w:pPr>
      <w:r>
        <w:rPr>
          <w:color w:val="000000"/>
        </w:rPr>
        <w:t>•</w:t>
      </w:r>
      <w:r>
        <w:rPr>
          <w:rFonts w:ascii="Times New Roman;sans-serif" w:hAnsi="Times New Roman;sans-serif"/>
          <w:b w:val="false"/>
          <w:color w:val="000000"/>
          <w:sz w:val="20"/>
        </w:rPr>
        <w:t>low total cost of ownership.</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patents, trademarks, copyrights, and trade secrets, as well as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license, or other intellectual property right. For information on the risks associated with our intellectual property, see “Risks Related to Our Intellectual Property” under “Item 1A - Risk Factors.”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“Risks Related to Laws and Regulations” under “Item 1A - Risk Factors.”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7,420 full-time employees. Of these employees, 3,797 are in the United States and 3,623 are in our international locations. None of our U.S. employees are represented by a labor union. Employees in two of our non-U.S. subsidiaries have the benefit of a collective bargaining agreement and are represented by a workers’ council. We have not experienced interruptions of operations or any work stoppages due to labor disagreements.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Our Culture of Happiness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culture of delivering happiness drives our mission and values and is fundamental to everything we do at Zoom:</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Mission.</w:t>
      </w:r>
      <w:r>
        <w:rPr>
          <w:color w:val="000000"/>
        </w:rPr>
        <w:t xml:space="preserve"> </w:t>
      </w:r>
      <w:r>
        <w:rPr>
          <w:rFonts w:ascii="Times New Roman;sans-serif" w:hAnsi="Times New Roman;sans-serif"/>
          <w:b w:val="false"/>
          <w:color w:val="000000"/>
          <w:sz w:val="20"/>
        </w:rPr>
        <w:t>One platform that delivers limitless human connection</w:t>
      </w:r>
    </w:p>
    <w:p>
      <w:pPr>
        <w:pStyle w:val="TextBody"/>
        <w:bidi w:val="0"/>
        <w:spacing w:lineRule="auto" w:line="288" w:before="120" w:after="283"/>
        <w:ind w:left="0" w:right="0" w:hanging="720"/>
        <w:jc w:val="both"/>
        <w:rPr/>
      </w:pPr>
      <w:r>
        <w:rPr>
          <w:color w:val="000000"/>
        </w:rPr>
        <w:t>•</w:t>
      </w:r>
      <w:r>
        <w:rPr>
          <w:rFonts w:ascii="Times New Roman;sans-serif" w:hAnsi="Times New Roman;sans-serif"/>
          <w:b/>
          <w:color w:val="000000"/>
          <w:sz w:val="20"/>
        </w:rPr>
        <w:t>Values.</w:t>
      </w:r>
      <w:r>
        <w:rPr>
          <w:color w:val="000000"/>
        </w:rPr>
        <w:t xml:space="preserve"> </w:t>
      </w:r>
      <w:r>
        <w:rPr>
          <w:rFonts w:ascii="Times New Roman;sans-serif" w:hAnsi="Times New Roman;sans-serif"/>
          <w:b w:val="false"/>
          <w:color w:val="000000"/>
          <w:sz w:val="20"/>
        </w:rPr>
        <w:t>We care for our customers, company, communities, teammates, selves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culture supports our hiring and serves as a competitive advantage in attracting and retaining top talent. Zoom was prominently featured in the computer software category on Fortune’s ‘Most Admired Companies’ list. Additionally, it was named to the Variety500, an award that recognizes the most influential business leaders shaping the industry.</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Diversity, equity, and inclusion (“DEI”) at Zoom is an embodiment of our core value of Care. DEI also represents our intentional effort to create an inclusive environment of the brightest minds from a broad set of backgrounds in order to create the most innovative solutions for our customers. Our approach to DEI is driven across four strategic focus areas: workforce (who and how we hire), workplace (how it feels to work at Zoom), marketplace (how we include our customers) and community (how we help to make the world more equitable).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taken steps to diversify our candidate outreach through engagements with AfroTech, Merritt College, AnitaB.org, and a five-year strategic partnership with Claflin University. In our workplace, our Zoom Talks initiative creates ongoing spaces for our employees to learn more about one another’s unique backgrounds. We have a number of Employee Resource Groups (“ERGs”) with a focus on Black, Latinx, Women, Asian and Pacific Islander, Veteran, and LGBTQ+ communities. Our ERGs offer our employees support and community building opportunities, and help to foster an inclusive environment and diverse workplace. Our DEI Team continues to partner with teams leading our product design and marketing to invest in making our products even more inclusive and accessible to the diverse set of communities we serve. </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maintaining a flexible working environment for our employees is a key priority.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announce material information to the public through a variety of means, including filings with the SEC, press releases, public conference calls, our website (www.zoom.com) and the investor relations section of our website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(investors.zoom.us). We use these channels, as well as social media, including our blog (blog.zoom.us), our X (formerly Twitter) account (@zoom_us), our LinkedIn page (linkedin.com/company/zoom-video-communications), our Instagram page (instagram.com/zoom), our TikTok page (tiktok.com/@zoom), and our Facebook page (facebook.com/zoomvideocommunications), to communicate with investors and the public about Zoom, our products and services, and other matters. Therefore, we encourage investors, the media, and others interested in Zoom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bidi w:val="0"/>
        <w:spacing w:before="0" w:after="0"/>
        <w:ind w:left="0" w:right="0" w:firstLine="540"/>
        <w:jc w:val="both"/>
        <w:rPr/>
      </w:pPr>
      <w:r>
        <w:rPr/>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dissatisfaction with our products and support, a customer no longer having a need for our products, or a belief that a competitor’s product is better, more secure, or less expensive than our products and platform. For example, during the COVID-19 pandemic, we saw a significant increase in usage and subscriptions. As a result, our customer base shifted largely from businesses and enterprises to a mix of businesses, enterprises, and consumers. Following the pandemic, some of our customers reduced or discontinued their use of our platform, and additional customers may do so in the future. Additionally, this shift in mix has resulted and may continue to result in higher non-renewal rates than we have experienced in the past.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revenue growth rate has fluctuated in prior periods, and may continue to decline in future periods.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has fluctuated in prior periods. You should not rely on the revenue growth of any prior quarterly or annual period as an indication of our future performance. There are no assurances we will be able to sustain or increase our revenue growth in future periods, and our revenue growth rate may continue to decline in future periods. Many factors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among others. Our growth rate could adversely affect investors’ perceptions of our business and the trading price of our Class A common stock could be adversely affected.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Interruptions, delays, or outages in service from our co-located data centers and a variety of other factors, would impair the delivery of our services, require us to issue credits or pay penalties,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communication and collaboration technologies platforms is competitive and rapidly changing, and existing and new market entrants, particularly established companies with greater resources than we have,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pStyle w:val="TextBody"/>
        <w:bidi w:val="0"/>
        <w:spacing w:before="120" w:after="283"/>
        <w:jc w:val="both"/>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bundled productivity solutions providers with video functionality, including Microsoft Teams and Google G Suite and Meet products;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legacy web-based meeting providers, including Cisco Webex and GoTo;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UCaaS and legacy PBX providers, including Avaya, RingCentral, and 8x8;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consumer-facing platforms that can support small- or medium-sized businesses, including Amazon, Apple, and Facebook.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we launched Zoom Contact Center, an omnichannel contact center solution that is optimized for video, which competes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have fluctuated and may in the future fluctuate significantly and may not fully reflect the underlying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 in our results may negatively impact the value of our securities. Factors that may cause fluctuations in our results of operations include, without limitation, those listed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retain and upgrade customers to higher-priced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customers and upgrade free users to one of our paid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employees, in particular those responsible for the selling or marketing of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way we organize and compensate our sales teams;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increase sales to large organizations;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length of our sales cycles and linearity of our bookings, especially with respect to sales to large enterprises and highly regulated industries, including financial services and U.S. federal and state and foreign governmental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timing and effectiveness of new sales and marketing initiatives;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experienced research and development personnel to design new products, features, and functionality that meet our privacy and security standards;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new products, features, and functionality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interruptions or delays in our service, network outages, or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any future acquisitions;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and market conditions.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be significantly affected by changes in the economy, such as high inflation and the responses by central banking authorities to control such inflation, recessionary or uncertain environments, U.S. federal debt ceiling negotiations and the risk of a U.S. government shutdown, fluctuations in the foreign currency exchange rates and global impacts, including the Russian invasion of Ukraine, the conflict in Israel and the surrounding area and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As we increase sales to large organizations, our sales cycles have and could continue to lengthen, and we could experience greater deployment challenges.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our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awareness of the communications and collaboration technologies category;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modes of communications and collaboration that may be developed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reduction in customer information technology spending budgets, or a consolidation of spending budgets on our competitors' platforms, especially during periods of inflation or recessionary or uncertain economic environments;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ease of adoption and use;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features and platform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reliability of our platform, including frequency of outages;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performance;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user support;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increase or maintain profitability in future periods. If we fail to grow our revenue sufficiently to keep pace with our investments and other expenses,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provide, develop, and create applications for our platform partners that integrate our platform with our partners’ various offerings. For example, our Zoom One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not be able to respond to rapid technological changes, extend our platform, or develop new features.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use generative AI including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generative AI processes and algorithms, including by deploying generative AI features in our products and services, which may result in adverse effects to our operations, legal liability, reputation and competitive risks. The use of generative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could face claims from third parties claiming infringement of their intellectual property or other proprietary rights with respect to materials used or created by generative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Further, use of generative AI tools by our employees or others could result in disclosure of confidential or sensitive company and customer data, reputational harm, and legal liability.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effectively develop and expand our marketing and sales capabilities could harm our ability to increase our customer base and achieve broader market acceptance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that would reinstate the 2018 rules and asked for comment on that proposal and on potential changes to those rules. We cannot predict whether or when the FCC will adopt new rules or the impact of any rules that may be adopted on our operations or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We cannot predict whether the FCC order or other state initiatives will be enforced, modified, overturned, or vacated by legal action of the court, federal legislation, or the FCC. In addition, the status of state regimes may be affected by the FCC's action in its new network neutrality proceeding.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security measures, and those of third parties upon which we rely,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our incurring significant liabilities, and our business being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other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which could materially disrupt our systems and operations, supply chain, and ability to provide our services. We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and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security measures are compromised,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upon whom we rely,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and information systems that we may become aware of in the future, or there may be delays in developing patches that can be effectively deployed to address vulnerabilities.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data security incidents, including those recently promulgated by the SEC. Such laws are inconsistent, and compliance in the event of a widespread data breach is costly. In addition, some of our customers require us to notify them of data security breaches.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or perceived security gaps or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not able to maintain and enhance our brand, our ability to expand our base of users will be impaired and our business will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our business, financial condition and results of operations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employee headcount both in the United States and internationally has generally increased over time, we have undertaken, and may undertake from time to time in the future, restructuring actions to better align our financial model and. For example, in February 2023, we commenced certain restructuring actions, designed to reduce operating costs and continue advancing our ongoing commitment to profitable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continue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 us to issue refunds to our customers or expose us to claims for damages;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cause us to lose existing customers and make it more difficult to attract new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our technical support costs;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harm our reputation and brand.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platform addresses the communications and collaboration needs of users worldwide, and we see international expansion as a major opportunity. Our revenue from APAC and EMEA collectively represented 28.7% and 30.5%, and 33.3% of our revenue for the fiscal years ended January 31, 2024, 2023, and 2022,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internationally subjects us to new risks and increases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foreign jurisdictions where the government may impede or interrupt our ability to provide our services or develop new products, features, and functionality;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to the same extent as the United States and the practical enforcement of such intellectual property rights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integration with partners outside of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and economic instability and other political tensions between countries in which we do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diplomatic and trade relationships, including the continuing deterioration in diplomatic relations between the United States and China, the conflict in Israel and the surrounding area, and the continuing war between Russia and Ukraine;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various U.S. and international anti-corruption laws, and any failure to comply with such laws could harm our business,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Geopolitical tension between the United States and China, or between other countries, such as Taiwan, and China, may intensify and lead to increased scrutiny of our business operations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52"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plan must be recognized over the applicable subscription term.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Any failure to offer high-quality support for our customers and users may harm our relationships with our customers and users and, consequently,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utilize our network of resellers to sell our products and services, and our failure to effectively develop, manage, and maintain our indirect sales channels would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offerings and processes requires significant time and resources. For resellers in certain emerging markets, we may be unable to effectively oversee and quality check certain processes, such as customer due diligence, which has and may continue to impact such resellers’ ability to implement robust customer verification protocols and mitigate fraud risk.If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fiscal years ended January 31, 2024, 2023, and 2022, 19.3%, 20.0%, and 22.6% of our revenue, respectively, and 13.7%, 10.8%, and 16.8%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year ended January 31, 2024, our total revenue was lower than anticipated in part due to the strengthening of the U.S. dollar. We do not currently maintain a program to hedge exposures to non-U.S. dollar currencies.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sales to government entities and other government contractors are subject to a number of additional challenges and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government demand and payment for our products may be influenced, among other things, by public sector budgetary cycles and funding authorizations, with funding reductions or delays having an adverse impact on public sector demand for our products.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taxes on our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Although Congress is considering legislation that would defer the amortization requirement to later years, we have no assurance that the provision will be repealed or otherwise modified. Absent a change in legislation, we expect the mandatory capitalization requirement will continue to have a material impact on our 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becoming effective during our fiscal year ending January 31, 2025, and the remaining rules becoming effective for our fiscal year ending January 31, 2026, or in later periods. At this point in time, we do not expect material tax impacts associated with Pillar Two rules in the countries where we operate for the fiscal year ending January 31, 2025.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evaluate our prospects and future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2021, we experienced rapid growth in usage of our unified communications and collaboration platform largely due to the COVID-19 pandemic. This usage dramatically changed the scale of our business, and we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rely on data from tools to calculate certain of our key business metrics.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seeking to improve our ability to measure our key business metrics, and regularly review our processes to assess potential improvements.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Laws and Regulations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our reputation and business and subject us to significant fines and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data,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in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Outside of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related to privacy, data protection, and information security may govern. For example, the European Union’s General Data Protection Regulation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The Swiss Federal Act on Data Protection (“FADP”), also applies to the collection and processing of personal information,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Artificial Intelligence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and use of AI and machine learning (“ML”)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AI/ML. In the EU, regulators have reached political agreement on the text of the Artificial Intelligence Act, which, when adopted and in force, will have a direct effect across all EU jurisdictions and could impose onerous obligations related to the use of AI-related systems. Obligations on AI/ML may make it harder for us to conduct our business using, or build products incorporating, AI/ML, require us to change our business practices, require us to retrain our algorithms, or prevent or limit our use of AI/ML. For example, the FTC has required other companies to turn over (or disgorge) valuable insights or trainings generated through the use of AI/ML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users do not widely adopt our new product AI/ML experiences, features, and capabilities, or they do not perform as expected, we may not be able to realize a return on 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Laws Relating to Minors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or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 and Protection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Standards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privacy, data protection and information security laws, we are contractually subject to industry standards adopted by industry groups and may become subject to such obligations in the future. We may also have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 or cannot comply with such contractual obligations, our reputation and business may be harmed. We also publish privacy policies, marketing materials, and other statements, such as compliance with certain certifications or self-regulatory principles, regarding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Government Inquiries and Investigations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and features, possibly in a material manner, which we may be unable to complete and may limit our ability to store and process user data or provide or develop new services and features.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Perception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Failure to Comply with our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export restrictions, could limit our ability to sell our products to certain customers, which may materially adversely affect our sales and 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U.S. or foreign governments may take administrative, legislative, or regulatory action that could materially interfere with our ability to sell products in certain countries. For example, the Trump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Biden administration or future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additional liabilities on past sales for taxes, surcharges, and fees.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Changes in law or policy could compel us or limit our ability to engage in content moderation, or otherwise limit the ability of users to engage in inappropriate or harmful behavior, and could expose us to liability.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 Supreme Court decision is expected during the first half of 2024. Florida recently amended its statute in an effort to address issues that led the court to issue the stay. It is likely that any other such state legislation also would be challenged under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to the U.S. Constitution and on the ground that it is preempted by Section 230. We cannot predict whether any such state legislation will be adopted, enforced, modified, overturned, or vacated.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noBreakHyphen/>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the FCC could reinstate its prior network neutrality regulations or adopt new regulations.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We cannot predict whether other state initiatives will be enforced, modified, overturned, or vacated.</w:t>
      </w:r>
    </w:p>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 Regulation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 source software could negatively affect our ability to offer and sell subscriptions to our platform and subject us to possible 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significant change in our management;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political, social, economic and market conditions, in both domestic and our foreign markets, including effects of increased interest rates and inflationary pressures.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As of January 31, 2024, the holders of our outstanding Class B common stock held 64.1% of the voting power of our outstanding capital stock, with our directors, executive officers and 5% stockholders and their respective affiliates holding 56.8% of such voting power in the aggregate. As of January 31, 2024, our founder, President and Chief Executive Officer, Eric S. Yuan, together with his affiliates, held approximately 7.4% of our outstanding capital stock but controlled approximately 31.0%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holders of Class B common stock collectively will continue to be able to control all matters submitted to our stockholders for approval even if their stock holdings represent less than a majority of the outstanding shares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This concentrated control will limit your ability to influence corporate matters for the foreseeable future, and, as a result, the market price of our Class A common stock could be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Class A common stock and Class B common stock could cause the market price of our Class A common stock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documents also contain other provisions that could have an anti-takeover effect, such as: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establishing a classified board of directors so that not all members of our board of directors are elected at one time;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permitting the board of directors to establish the number of directors and fill any vacancies and newly created directorships;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providing that directors may only be removed for cause;</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cumulative voting for directors;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requiring super-majority voting to amend some provisions in our certificate of incorporation and bylaws;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authorizing the issuance of “blank check” preferred stock that our board of directors could use to implement a stockholder rights plan;</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eliminating the ability of stockholders to call special meetings of stockholders;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prohibiting stockholder action by written consent, which requires all stockholder actions to be taken at a meeting of our stockholders;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our dual-class common stock structure as described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We incur costs and demands upon management as a result of complying with the laws and regulations affecting public companies in the United States, which may harm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Regulators', investors’ and other stakeholders’ expectations of our performance relating to environmental, social and governance factors may impose additional costs and expose us to new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investors, customers and other stakeholders concerning environmental, social and governance matters (“ESG”). Regulators are driving legislation to bring consistency and transparency to ESG disclosures. Some investors may use these ESG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voluntary ESG and climate disclosures, as well as our reporting under related disclosure regulations, or a failure to meet evolving stakeholder expectations for ESG reporting and practices, may potentially harm our reputation and customer relationships or expose us to liability. Due to new regulatory standards and market standards, certain new or existing customers may impose stricter ESG guidelines or contractual language for, and may scrutinize relationships more closely with, their counterparties, including us, which may lengthen sales cycles or increase our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Climate change may have an impact on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designed and implemented an information security program that is tailored to our operations and infrastructure, the nature of our products and services, and the sensitivity of data. Our information security program consists of processes that are designed to identify, assess, and manage material risks from cybersecurity threats.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cybersecurity risk management processes that include, for example, vulnerability assessments, application security assessments, penetration testing, third party security assessments, security audits, and ongoing risk assessments. In addition, we have implemented technical, physical, and organizational safeguards designed to mitigate material risks from cybersecurity threats, including, for example, depending on the environment or system: information security policies and standards, data protection policies and standards, security training and awareness campaigns, information protection processes, and systems monitoring for cybersecurity threats. We have also implemented an Incident Response Plan and procedures that provide a framework for responding to cybersecurity incidents. The Incident Response Plan and procedures provide protocols for incident evaluation, including the use of third-party service providers, processes for notification, and internal escalation of information to our senior management and the appropriate Board committee(s). The Incident Response Plan is reviewed and updated, as necessary, under the leadership of Zoom’s Chief Information Security Officer (“CISO”).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assessment and management of material risks from cybersecurity threats are an important element of our overall enterprise risk management program and included in our annual enterprise risk assessment which we provide to senior management and the Board.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assist us from time to time to identify, assess, and manage material risks from cybersecurity threats, including for example: professional services firms (including legal counsel), threat intelligence service providers, cybersecurity consultants, cybersecurity software and managed service providers, penetration testing firms, and forensic investigators.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third party risk management program designed to oversee, identify, and mitigate material risks from cybersecurity threats associated with our use of third-party service providers. We perform risk-based due diligence and ongoing monitoring of third parties, which may include, for example: reviewing the third party’s relevant security audits and assessments; conducting our own security assessments, and imposing contractual obligations related to information security.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risks from cybersecurity threats that may materially affect us, see “Part I, Item 1A. Risk Factors” of this Annual Report on Form 10-K.</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addresses our cybersecurity risk management as part of its general oversight function. As outlined in its committee charter, the Cybersecurity Risk Management Committee of the Board (“Cybersecurity Risk Committee”) assists the Board in fulfilling its oversight responsibility. Our CISO, Michael Adams, leads the team responsible for implementing and maintaining our information security program and reports directly to the Chief Operating Officer (“COO”), who reports directly to our Chief Executive Officer (“CEO”). Mr. Adams is a graduate of the United States Naval Academy and brings nearly 30 years of security and leadership experience, including serving as Deputy General Counsel of NATO's International Security Assistance Force Joint Command, Deputy General Counsel of the United States' Military's Pacific Command, and Deputy General Counsel for two Chairmen of the Joint Chiefs of Staff of the United States, as well as an executive at a leading technology company. Mr. Adams previously also served as Zoom's Chief Counsel to the COO and CISO.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CISO provides regular briefings to our senior management and the Cybersecurity Risk Committee concerning relevant cybersecurity risks and the processes we have implemented to address them. The Cybersecurity Risk Committee and the Board also receive various reports, summaries, and presentations related to cybersecurity threats, risks, and mitigations.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in Note 9 -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Select Market under the symbol “ZM.”</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59 holders of record of our Class A common stock and 14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(i) the cumulative total stockholder return on our Class A common stock from April 18, 2019 (the date our Class A common stock commenced trading on the Nasdaq Global Select Market) through January 31, 2024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before="120" w:after="283"/>
        <w:jc w:val="center"/>
        <w:rPr/>
      </w:pPr>
      <w:r>
        <w:rPr/>
        <w:drawing>
          <wp:inline distT="0" distB="0" distL="0" distR="0">
            <wp:extent cx="5838825" cy="3619500"/>
            <wp:effectExtent l="0" t="0" r="0" b="0"/>
            <wp:docPr id="5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one platform that delivers limitless human connection.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Zoom is an intelligent, secure collaboration platform that makes connecting easier, more immersive, and more dynamic for businesses and individuals. We’re committed to evolving our platform in ways that empower limitless human connection and solve real business problems. All of our product innovation has a unified goal: to help streamline the workday through effective communication and collaboration tools. The Zoom platform makes teamwork more meaningful, drives impact with intelligence, strengthens customer relationships, and enables seamless workflows. Additionally, trust is a cornerstone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Zoom platform. We equip users with a comprehensive set of tools to make their interactions safe, secure, and private. We believe that strong security should never compromise a great user experience.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We’re on a mission to reimagine the way we communicate and collaborate in a hybrid working world. The Zoom platform brings employee and customer experience together that people love to use. Flagship products like Zoom Meetings, Zoom Phone, and Zoom Team Chat are among the core products on the platform that are critical to business communication and collaboration needs. We strive to continue building a platform that helps people work smarter, be more engaged with work, and better connect with each other. AI has been core to Zoom’s product DNA over many years, grounded in our conviction that AI can make work more human by strengthening collaboration, productivity, and inclusivity.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2024, we continued to invest in AI and focused on three key areas regarding AI innovation: supporting individual productivity, powering better collaboration, and helping customer-facing teams delight their customers. We recently launched Zoom AI Companion, our smart assistant that is designed to empower workers to increase productivity, improve team effectiveness, and enhance skills. Additionally, we introduced our federated approach to AI, which enables us to make Zoom’s AI capabilities accessible and affordable so that more people can incorporate them in their day-to-day workflows. In line with our commitment to responsible AI, Zoom does not use customer audio, video, chat, screen sharing, attachments, or other communications (such as poll results, whiteboard, and reactions) to train Zoom’s or third-party AI models.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face-to-face communications build greater empathy and trust. We strive to live up to the trust our customers place in us by delivering a communications solution while prioritizing their privacy and security. Our 29 co-located data centers worldwide and the public cloud in conjunction with our proprietary adaptive rate codec enable us to provide both high-quality and high-definition, real-time video to our customers even in low-bandwidth environments.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sale of subscriptions to our unified communications and collaboration platform. Subscription revenue is driven primarily by the number of customers as well as purchases of additional products, including Zoom Phone, Zoom Spaces, Zoom Events, Zoom Contact Center and Zoom Revenue Accelerator. We define a customer as a separate and distinct buying entity, which can be a single paid user or an organization of any size (including a distinct unit of an organization) that has multiple users. Our Zoom One Basic offering is free and gives users access to Zoom Meetings with core features but with the limitation that meetings time-out at 40 minutes. Our core paid offerings are available with our Zoom One bundles: Zoom One Pro, Business, Business Plus, Enterprise, Enterprise Plus, and Enterprise Premier.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was $4,527.2 million, $4,393.0 million, and $4,099.9 million for the fiscal years ended January 31, 2024, 2023, and 2022, respectively, representing year-over-year growth of 3.1% and 7.1%, respectively. We had net income of $637.5 million, $103.7 million, and $1,375.6 million for the fiscal years ended January 31, 2024, 2023, and 2022, respectively. Net cash provided by operating activities was $1,598.8 million, $1,290.3 million, and $1,605.3 million for the fiscal years ended January 31, 2024, 2023, and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Macroeconomic Conditions and other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macroeconomic shifts, including high inflation, elevated interest rates, and the responses by central banking authorities, potential recessionary environments, and fluctuations in foreign currency exchange rates, have introduced uncertainty to our business. Additionally, the possibility of a U.S. federal government shutdown, resulting from budgetary challenges, may negatively impact global economic conditions, influencing corporate and consumer spending as well as capital market liquidity. For the fiscal year ended January 31, 2024, we continued to experience growth in total revenue and revenue from Enterprise customers. However, macroeconomic conditions, including high inflation and continued uncertainty regarding the current and future political and economic environment, have and may continue to impact the future demand for subscriptions to our unified communications and collaboration platform. For example, we have experienced and may continue to experience elongated sales cycles as well as a decrease in customers’ overall corporate spending, which is negatively impacting our revenue growth rate and net dollar expansion rate for Enterprise customers. In addition, for the fiscal year ended January 31, 2024, we experienced unfavorable foreign currency impact as a result of the continued strengthening of the U.S. dollar compared to certain foreign jurisdictions where we do a significant amount of business, which resulted in a $34.1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negative impact on revenue for the fiscal year ended January 31, 2024.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economic environment, we announced a restructuring plan intended to reduce operating costs and continue advancing our ongoing commitment to profitable growth. The restructuring plan included a reduction of our then-current workforce by approximately 15%.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global impacts stemming from the Russian invasion of Ukraine and the recent conflict in Israel and the surrounding area continue to present a high level of uncertainty. Our customers in these regions collectively represented approximately 1% of our net assets and total consolidated revenue as of and for the fiscal year ended January 31, 2024. If the conflicts in these regions persist or worsen, possibly leading to additional sanctions, tightened export restrictions, and greater global economic disruptions and uncertainty, our business and results of operations could be materially impacted. Refer to “Part I, Item 1A. Risk Factors” of this Annual Report on Form 10-K for further discussions of the potential impacts of the current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Acquiring New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pStyle w:val="TextBody"/>
        <w:bidi w:val="0"/>
        <w:spacing w:lineRule="auto" w:line="288" w:before="240" w:after="283"/>
        <w:ind w:left="0" w:right="0" w:firstLine="540"/>
        <w:jc w:val="both"/>
        <w:rPr/>
      </w:pPr>
      <w:r>
        <w:rPr>
          <w:rFonts w:ascii="Times New Roman;sans-serif" w:hAnsi="Times New Roman;sans-serif"/>
          <w:b/>
          <w:i/>
          <w:color w:val="000000"/>
          <w:sz w:val="20"/>
        </w:rPr>
        <w:t>Expansion of Zoom Across Existing Enterprise Customers</w:t>
      </w:r>
      <w:r>
        <w:rPr>
          <w:color w:val="000000"/>
        </w:rPr>
        <w: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Spaces, Contact Center, Revenue Accelerator,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57.9%, 54.8% and 47.6% of total revenue for the fiscal years ended January 31, 2024, 2023 and 2022,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was 101%, 115%, and 130% as of January 31, 2024,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Retention of Online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42.1%, 45.2%, and 52.4% of total revenue for the fiscal years ended January 31, 2024, 2023 and 2022, respectively. The ability to retain these Online customers will have an impact on our future revenue. The online monthly average churn for our Online customers was 3.1%, 3.4%, and 3.9% per month for the fiscal years ended January 31, 2024, 2023 and 2022,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January 31, 2024, 2023 and 2022 the percentage of total Online MRR from Online customers with a continual term of service of at least 16 months was 74.2%, 72.0% and 58.8%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pStyle w:val="TextBody"/>
        <w:bidi w:val="0"/>
        <w:spacing w:lineRule="auto" w:line="256"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Innovation and Expansion of Our Platform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invest resources to enhance the capabilities of our platform. For example, we have recently introduced a number of new products and enhancements including Zoom AI Companion, new features for Zoom Contact Center, Zoom Notes, integration of Workvivo into the Zoom desktop client, and ongoing enhancements for Zoom Phone, Meetings, Zoom Rooms, Huddles, Webinars and Zoom Events. We also deliver Zoom Phone calling plans in more than 45 countries and territories as of January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recently announced several upcoming products including Zoom Docs and an enhanced version of AI Companion that is designed to allow the handling of complex tasks across our platform using information from multiple sources including third party applications. These products are expected to be generally available in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acquired Workvivo, an employee experience platform that combines internal communication and engagement tools, a social intranet, and an employee app. With the acquisition, we continue our evolution to provide a collaboration platform that enables modern work and powers the digital-first workplace, offering our customers new ways to keep employees informed, engaged, and connected.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 opposed to Zoom's servers, generates encryption keys and uses public key cryptography to distribute these keys to the other meeting participants or call recipient.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International Opportunity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addresses the communications and collaboration needs of users worldwide, and we see international expansion as a major opportunity. Our revenue from the rest of world (APAC and EMEA) represented 28.7%, 30.5%, and 33.3% of our total revenue for the fiscal years ended January 31, 2024, 2023, and 2022, respectively. The decrease in revenue from the rest of the world in the fiscal years ended January 31, 2024 and 2023 was due to the impact of the strengthening of the U.S dollar along with macroeconomic conditions in the EMEA region.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following key business metrics to measure our performance, identify trends, formulate financial projections, and make strategic decisions.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Number of Enterprise Customers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January 31, 2024, 2023, and 2022, we had approximately 220,400, 213,000, and 191,000 Enterprise customers, respectively.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Customers Contributing More Than $100,000 of Trailing 12 Months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29.2%, 27.1%, and 21.9% of total revenue for the fiscal years ended January 31, 2024, 2023, and 2022, respectively. As of January 31, 2024, 2023, and 2022, we had 3,810, 3,471, and 2,725 customers, respectively, that contributed more than $100,000 of trailing 12 months revenue, demonstrating our rapid penetration of larger organizations, including enterprises. These customers are a subset of Enterprise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that free cash flow (“FCF”) is a non-GAAP financial measure that is useful in evaluating our liquidity.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cash flows for the fiscal years presented and a reconciliation of FCF to net cash provided by operating activities, the most directly comparable financial measure calculated in accordance with GAAP:</w:t>
      </w:r>
    </w:p>
    <w:tbl>
      <w:tblPr>
        <w:tblW w:w="8951" w:type="dxa"/>
        <w:jc w:val="left"/>
        <w:tblInd w:w="0" w:type="dxa"/>
        <w:tblLayout w:type="fixed"/>
        <w:tblCellMar>
          <w:top w:w="28" w:type="dxa"/>
          <w:left w:w="28" w:type="dxa"/>
          <w:bottom w:w="28" w:type="dxa"/>
          <w:right w:w="28" w:type="dxa"/>
        </w:tblCellMar>
      </w:tblPr>
      <w:tblGrid>
        <w:gridCol w:w="1525"/>
        <w:gridCol w:w="1343"/>
        <w:gridCol w:w="1346"/>
        <w:gridCol w:w="211"/>
        <w:gridCol w:w="1051"/>
        <w:gridCol w:w="109"/>
        <w:gridCol w:w="109"/>
        <w:gridCol w:w="109"/>
        <w:gridCol w:w="109"/>
        <w:gridCol w:w="211"/>
        <w:gridCol w:w="976"/>
        <w:gridCol w:w="109"/>
        <w:gridCol w:w="109"/>
        <w:gridCol w:w="109"/>
        <w:gridCol w:w="109"/>
        <w:gridCol w:w="211"/>
        <w:gridCol w:w="105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purchases of property and equipment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(2,859,097)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(936,942)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that we expect to receive in exchange for these services over the contract term which can include a free period discount.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Gains (Losses) on Strategic Investments,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 consist primarily of remeasurement gains or losses on our equity investments.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income, net consists primarily of interest income and net accretion on our marketable securities and effect of changes in foreign currency exchange rates.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consists primarily of income taxes related to federal, state, and foreign jurisdictions where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selected consolidated statements of operations data and such data as a percentage of revenue for each of the fiscal years indicated:</w:t>
      </w:r>
    </w:p>
    <w:tbl>
      <w:tblPr>
        <w:tblW w:w="10086" w:type="dxa"/>
        <w:jc w:val="left"/>
        <w:tblInd w:w="0" w:type="dxa"/>
        <w:tblLayout w:type="fixed"/>
        <w:tblCellMar>
          <w:top w:w="28" w:type="dxa"/>
          <w:left w:w="28" w:type="dxa"/>
          <w:bottom w:w="28" w:type="dxa"/>
          <w:right w:w="28" w:type="dxa"/>
        </w:tblCellMar>
      </w:tblPr>
      <w:tblGrid>
        <w:gridCol w:w="1751"/>
        <w:gridCol w:w="1544"/>
        <w:gridCol w:w="1550"/>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color w:val="000000"/>
              </w:rPr>
              <w:t xml:space="preser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color w:val="000000"/>
              </w:rPr>
              <w:t xml:space="preser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1,057,161 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1,285,752 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477,287 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57" w:type="dxa"/>
        <w:jc w:val="left"/>
        <w:tblInd w:w="0" w:type="dxa"/>
        <w:tblLayout w:type="fixed"/>
        <w:tblCellMar>
          <w:top w:w="28" w:type="dxa"/>
          <w:left w:w="28" w:type="dxa"/>
          <w:bottom w:w="28" w:type="dxa"/>
          <w:right w:w="28" w:type="dxa"/>
        </w:tblCellMar>
      </w:tblPr>
      <w:tblGrid>
        <w:gridCol w:w="1675"/>
        <w:gridCol w:w="1478"/>
        <w:gridCol w:w="1481"/>
        <w:gridCol w:w="109"/>
        <w:gridCol w:w="109"/>
        <w:gridCol w:w="118"/>
        <w:gridCol w:w="118"/>
        <w:gridCol w:w="118"/>
        <w:gridCol w:w="118"/>
        <w:gridCol w:w="308"/>
        <w:gridCol w:w="308"/>
        <w:gridCol w:w="294"/>
        <w:gridCol w:w="118"/>
        <w:gridCol w:w="118"/>
        <w:gridCol w:w="118"/>
        <w:gridCol w:w="308"/>
        <w:gridCol w:w="308"/>
        <w:gridCol w:w="294"/>
        <w:gridCol w:w="109"/>
        <w:gridCol w:w="109"/>
        <w:gridCol w:w="109"/>
        <w:gridCol w:w="308"/>
        <w:gridCol w:w="308"/>
        <w:gridCol w:w="316"/>
      </w:tblGrid>
      <w:tr>
        <w:trPr/>
        <w:tc>
          <w:tcPr>
            <w:tcW w:w="16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259" w:type="dxa"/>
            <w:gridSpan w:val="6"/>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8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a percentage of revenue)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Fiscal Years Ended January 31, 2024 and 2023</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6510"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4,527,224 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fiscal year ended January 31, 2024 increased by $134.3 million, or 3.1%, compared to the fiscal year ended January 31, 2023. The increase in revenue was due to an 8.7% increase in revenue from subscription services provided to Enterprise customers, of which 80.3% and 19.7% were from existing and new customers, respectively. This increase was partially offset by a 3.8% decline in revenue from subscription services provided to Online customers.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7431" w:type="dxa"/>
        <w:jc w:val="left"/>
        <w:tblInd w:w="0" w:type="dxa"/>
        <w:tblLayout w:type="fixed"/>
        <w:tblCellMar>
          <w:top w:w="28" w:type="dxa"/>
          <w:left w:w="28" w:type="dxa"/>
          <w:bottom w:w="28" w:type="dxa"/>
          <w:right w:w="28" w:type="dxa"/>
        </w:tblCellMar>
      </w:tblPr>
      <w:tblGrid>
        <w:gridCol w:w="504"/>
        <w:gridCol w:w="444"/>
        <w:gridCol w:w="446"/>
        <w:gridCol w:w="211"/>
        <w:gridCol w:w="976"/>
        <w:gridCol w:w="271"/>
        <w:gridCol w:w="109"/>
        <w:gridCol w:w="109"/>
        <w:gridCol w:w="109"/>
        <w:gridCol w:w="211"/>
        <w:gridCol w:w="976"/>
        <w:gridCol w:w="271"/>
        <w:gridCol w:w="109"/>
        <w:gridCol w:w="109"/>
        <w:gridCol w:w="109"/>
        <w:gridCol w:w="211"/>
        <w:gridCol w:w="796"/>
        <w:gridCol w:w="109"/>
        <w:gridCol w:w="109"/>
        <w:gridCol w:w="109"/>
        <w:gridCol w:w="109"/>
        <w:gridCol w:w="239"/>
        <w:gridCol w:w="241"/>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1,077,801 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1,100,451 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3,292,509 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fiscal year ended January 31, 2024, decreased by $22.7 million, or 2.1%, compared to the fiscal year ended January 31, 2023. The decrease was primarily due to a $22.5 million decrease in personnel-related expenses, which includes a $32.6 million decrease in stock-based compensation expense, driven by a prior year change in our equity program, partially offset by restructuring and related expenses of $7.1 million and a $2.9 million increase in payroll taxes and benefits.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increased to 76.2% for the fiscal year ended January 31, 2024 from 74.9% for the fiscal year ended January 31, 2023. The increase in gross margin was mainly due to the decrease in personnel-related expenses.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573"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fiscal year ended January 31, 2024, increased by $29.1 million, or 3.8%, compared to the fiscal year ended January 31, 2023. The increase was primarily due to a $15.7 million increase in personnel-related expenses, which includes a $25.8 million increase in payroll taxes and benefits, and $19.6 million in restructuring and related expenses, partially offset by a $29.7 million decrease in stock-based compensation expense, driven by a prior year change in our equity program. The remaining increase was primarily due to a $4.3 million increase in software costs.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7572" w:type="dxa"/>
        <w:jc w:val="left"/>
        <w:tblInd w:w="0" w:type="dxa"/>
        <w:tblLayout w:type="fixed"/>
        <w:tblCellMar>
          <w:top w:w="28" w:type="dxa"/>
          <w:left w:w="28" w:type="dxa"/>
          <w:bottom w:w="28" w:type="dxa"/>
          <w:right w:w="28" w:type="dxa"/>
        </w:tblCellMar>
      </w:tblPr>
      <w:tblGrid>
        <w:gridCol w:w="634"/>
        <w:gridCol w:w="558"/>
        <w:gridCol w:w="562"/>
        <w:gridCol w:w="211"/>
        <w:gridCol w:w="976"/>
        <w:gridCol w:w="109"/>
        <w:gridCol w:w="109"/>
        <w:gridCol w:w="109"/>
        <w:gridCol w:w="109"/>
        <w:gridCol w:w="211"/>
        <w:gridCol w:w="976"/>
        <w:gridCol w:w="109"/>
        <w:gridCol w:w="109"/>
        <w:gridCol w:w="109"/>
        <w:gridCol w:w="109"/>
        <w:gridCol w:w="211"/>
        <w:gridCol w:w="901"/>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for the fiscal year ended January 31, 2024, decreased by $155.3 million, or 9.2%, compared to the fiscal year ended January 31, 2023. The decrease in sales and marketing expense was primarily due to a $167.5 million decrease personnel-related expenses, which includes a $159.3 million decrease in stock-based compensation expense, driven by a prior year change in our equity program, and a $41.0 million decrease in payroll taxes and benefits, partially offset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expenses of $32.9 million. The decrease in personnel-related expenses was partially offset by a $23.4 million increase in channel partner referral fees.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468"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03"/>
        <w:gridCol w:w="20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for the fiscal year ended January 31, 2024, increased by $3.2 million, or 0.6%, compared to the fiscal year ended January 31, 2023. The increase in general and administrative expense was primarily due to $34.8 million increase in legal expense, including litigation settlements, and restructuring and related expenses of $13.3 million; partially offset by $24.3 million decrease in stock-based compensation expense, driven by a prior year change in our equity program and $14.4 million decrease in administrative overhead.</w: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Gains (Losses) on Strategic Investments, Net</w:t>
      </w:r>
    </w:p>
    <w:tbl>
      <w:tblPr>
        <w:tblW w:w="9134" w:type="dxa"/>
        <w:jc w:val="left"/>
        <w:tblInd w:w="0" w:type="dxa"/>
        <w:tblLayout w:type="fixed"/>
        <w:tblCellMar>
          <w:top w:w="28" w:type="dxa"/>
          <w:left w:w="28" w:type="dxa"/>
          <w:bottom w:w="28" w:type="dxa"/>
          <w:right w:w="28" w:type="dxa"/>
        </w:tblCellMar>
      </w:tblPr>
      <w:tblGrid>
        <w:gridCol w:w="1298"/>
        <w:gridCol w:w="1140"/>
        <w:gridCol w:w="1147"/>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308"/>
        <w:gridCol w:w="308"/>
        <w:gridCol w:w="54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5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Gains on strategic investments, net, of $109.8 million for the fiscal year ended January 31, 2024, was driven by realized and unrealized gains on our publicly and privately held securities, while losses on strategic investments, net, of $37.6 million for the fiscal year ended January 31, 2023, were primarily driven by unrealized losses recognized on our publicly traded equity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7034" w:type="dxa"/>
        <w:jc w:val="left"/>
        <w:tblInd w:w="0" w:type="dxa"/>
        <w:tblLayout w:type="fixed"/>
        <w:tblCellMar>
          <w:top w:w="28" w:type="dxa"/>
          <w:left w:w="28" w:type="dxa"/>
          <w:bottom w:w="28" w:type="dxa"/>
          <w:right w:w="28" w:type="dxa"/>
        </w:tblCellMar>
      </w:tblPr>
      <w:tblGrid>
        <w:gridCol w:w="564"/>
        <w:gridCol w:w="497"/>
        <w:gridCol w:w="49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08"/>
        <w:gridCol w:w="308"/>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fiscal year ended January 31, 2024 increased by $155.8 million, or 376.3%, compared to the fiscal year ended January 31, 2023. The increase was mainly driven by an increase of $155.9 million in investment yield on our marketable securities.</w:t>
      </w:r>
    </w:p>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7649" w:type="dxa"/>
        <w:jc w:val="left"/>
        <w:tblInd w:w="0" w:type="dxa"/>
        <w:tblLayout w:type="fixed"/>
        <w:tblCellMar>
          <w:top w:w="28" w:type="dxa"/>
          <w:left w:w="28" w:type="dxa"/>
          <w:bottom w:w="28" w:type="dxa"/>
          <w:right w:w="28" w:type="dxa"/>
        </w:tblCellMar>
      </w:tblPr>
      <w:tblGrid>
        <w:gridCol w:w="825"/>
        <w:gridCol w:w="726"/>
        <w:gridCol w:w="72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for the fiscal year ended January 31, 2024 increased by $49.3 million, or 33.9%, compared to the fiscal year ended January 31, 2023. The change in income taxes was primarily due to changes in income before taxes, tax shortfalls on stock-based compensation, the foreign-derived intangible income deduction, and the valuation allowance recorded against certain federal, state, and foreign deferred tax assets as of January 31, 2024. See Note 11 of the Notes to Consolidated Financial Statements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fiscal year ended January 31, 2023 compared to the fiscal year ended January 31, 2022, please refer to Part II, Item 7, “Management's Discussion and Analysis of Financial Condition and Results of Operations” in our Annual Report on Form 10-K for the fiscal year ended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our principal sources of liquidity were cash, cash equivalents, and marketable securities of $7.0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through income from operations and sales of equity securities. Cash from operations could also be affected by various risks and uncertainties, including, but not limited to, the recent macroeconomic shifts, such as high inflation, changes in interest rates and the responses by central banking authorities, potential recessionary environments, and the fluctuations in foreign currency exchange rates, which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material cash requirements from known contractual and other obligations primarily relate to our leases for office space and equipment, as well as non-cancelable purchase obligations. Expected timing of those payments are as follows:</w:t>
      </w:r>
    </w:p>
    <w:tbl>
      <w:tblPr>
        <w:tblW w:w="10205" w:type="dxa"/>
        <w:jc w:val="center"/>
        <w:tblInd w:w="0" w:type="dxa"/>
        <w:tblLayout w:type="fixed"/>
        <w:tblCellMar>
          <w:top w:w="28" w:type="dxa"/>
          <w:left w:w="28" w:type="dxa"/>
          <w:bottom w:w="28" w:type="dxa"/>
          <w:right w:w="28" w:type="dxa"/>
        </w:tblCellMar>
      </w:tblPr>
      <w:tblGrid>
        <w:gridCol w:w="1135"/>
        <w:gridCol w:w="994"/>
        <w:gridCol w:w="100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44"/>
        <w:gridCol w:w="538"/>
        <w:gridCol w:w="180"/>
      </w:tblGrid>
      <w:tr>
        <w:trPr/>
        <w:tc>
          <w:tcPr>
            <w:tcW w:w="11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Non-cancelable purchase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commitment amounts in the table above are associated with agreements that are enforceable and legally binding. Obligations under contracts that we can cancel without a significant penalty are not included in the table above. Refer to the “Future minimum lease payments” table in Note 7 and “Non-cancelable Purchase Obligations” in Note 9 to our consolidated financial statements included in Part II, Item 8 of this Annual Report on Form 10-K for more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8951" w:type="dxa"/>
        <w:jc w:val="left"/>
        <w:tblInd w:w="0" w:type="dxa"/>
        <w:tblLayout w:type="fixed"/>
        <w:tblCellMar>
          <w:top w:w="28" w:type="dxa"/>
          <w:left w:w="28" w:type="dxa"/>
          <w:bottom w:w="28" w:type="dxa"/>
          <w:right w:w="28" w:type="dxa"/>
        </w:tblCellMar>
      </w:tblPr>
      <w:tblGrid>
        <w:gridCol w:w="1525"/>
        <w:gridCol w:w="1343"/>
        <w:gridCol w:w="1346"/>
        <w:gridCol w:w="211"/>
        <w:gridCol w:w="1051"/>
        <w:gridCol w:w="109"/>
        <w:gridCol w:w="109"/>
        <w:gridCol w:w="109"/>
        <w:gridCol w:w="109"/>
        <w:gridCol w:w="211"/>
        <w:gridCol w:w="976"/>
        <w:gridCol w:w="109"/>
        <w:gridCol w:w="109"/>
        <w:gridCol w:w="109"/>
        <w:gridCol w:w="109"/>
        <w:gridCol w:w="211"/>
        <w:gridCol w:w="105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cash collections from our customers for subscriptions to our platform. Our primary uses of cash from operating activities are for employee-related expenditures, costs related to hosting our platform,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$1,598.8 million for the fiscal year ended January 31, 2024, compared to $1,290.3 million for the fiscal year ended January 31, 2023. The increase in operating cash flow was mainly driven by higher net income of $533.8 million and the positive impact from changes in operating assets and liabilities of $158.2 million, offset by a decrease in non-cash adjustments of $383.5 million, which is primarily a result of higher gains on strategic investments, net, and lower stock-based compensation expense.</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$1,183.7 million for the fiscal year ended January 31, 2024 was due to net purchases of marketable securities of $951.4 million, cash paid for acquisition, net of cash acquired, of $204.9 million, purchases of property and equipment of $127.0 million, purchases of strategic investments of $70.5 million, partially offset by proceeds from strategic investments of $170.1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$318.3 million for the fiscal year ended January 31, 2023 was primarily due to cash paid for acquisition, net of cash acquired, of $120.6 million, purchases of property and equipment of $103.8 million, purchases of strategic investments of $69.1 million, net purchases of marketable securities of $13.9 million, and purchases of intangible assets of $11.3 million.</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$60.2 million for the fiscal year ended January 31, 2024 was due to proceeds from issuance of common stock pursuant to our employee stock purchase plan (“ESPP”) of $54.1 million and proceeds from the exercise of stock options of $10.2 million, partially offset by proceeds from employee equity transactions remitted to employees and tax authorities, net, of $4.1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$936.9 million for the fiscal year ended January 31, 2023 was primarily due to cash paid for repurchases of common stock of $1.0 billion, offset by proceeds from issuance of common stock pursuant to our employee stock purchase plan (“ESPP”) of $53.7 million and proceeds from the exercise of stock options of $8.6 million.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fiscal year ended January 31, 2022, please refer to Part II, Item 7, “Management's Discussion and Analysis of Financial Condition and Results of Operations” in our Annual Report on Form 10-K for the fiscal year ended January 31,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March 1, 2024, there have been no repurchases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defined in Item 303(a)(4)(ii) of Regulation S-K promulgated by the SEC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of our significant accounting policies, which are described in Note 1 “Summary of Business and Significant Accounting Policies” to our consolidated financial statements, the following critical estimates involve a greater degree of judgment and complexity.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Cost to Obtain a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paid upon the initial acquisition of a customer contract are amortized over an estimated period of benefit of three years, which is typically greater than the contractual terms of the customer contracts.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Sales commission is generally not paid upon contract renewal. Amortization is recognized on a straight-line basis commensurate with the pattern of revenue recognition.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Business Combinations and Valuation of Goodwill and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amounts are not amortized, but rather tested for impairment at least annually, in the fourth quarter of each fiscal year, or more often if circumstances indicate that the carrying value may not be recoverable. As of January 31, 2024, no impairment of goodwill has been identified.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strategic investments in privately held debt and equity securities in which we do not have a controlling interest or significant influence requires us to make significant estimates and assumptions.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privately held debt and equity securities strategic investment portfolio quarterly for indicators for impairment. Our impairment analysis encompasses a qualitative assessment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 An immediate decrease of ten percent in enterprise value of our largest privately held equity securities held as of January 31, 2024 would not have had a material impact on the value of our investment portfolio.</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and the related assumptions are evaluated periodically as conditions warrant, and changes to such estimates are recorded as new information or changed conditions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“Summary of Business and Significant Accounting Policies” in Note 1 to our consolidated financial statements included in Part II,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QUALITATIVE AND QUANTITATIVE DISCLOSURES ABOUT MARKET RISK</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Foreign Currency and Exchange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Australia, China, Europe and the United States. Our results of current and future operations and cash flows are, therefore, subject to fluctuations due to changes in foreign currency exchange rates. For the fiscal year ending January 31, 2024, 2023 and 2022, 19.3% , 20.0% and 22.6% of our revenue, respectively and 13.7%, 10.8% and 16.8% of our expenses, respectively were denominated in currencies other than the U.S. dollar. The effect of a hypothetical 10% change in foreign currency exchange rates applicable to our business would not have had a material impact on our historical consolidated financial statements for the fiscal years ended January 31, 2024, 2023, and 2022. As the impact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$1.6 billion and marketable securities of $5.4 billion as of January 31, 2024.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center"/>
        <w:rPr/>
      </w:pPr>
      <w:r>
        <w:rPr/>
      </w:r>
    </w:p>
    <w:tbl>
      <w:tblPr>
        <w:tblW w:w="5758" w:type="dxa"/>
        <w:jc w:val="left"/>
        <w:tblInd w:w="0" w:type="dxa"/>
        <w:tblLayout w:type="fixed"/>
        <w:tblCellMar>
          <w:top w:w="28" w:type="dxa"/>
          <w:left w:w="28" w:type="dxa"/>
          <w:bottom w:w="28" w:type="dxa"/>
          <w:right w:w="28" w:type="dxa"/>
        </w:tblCellMar>
      </w:tblPr>
      <w:tblGrid>
        <w:gridCol w:w="1759"/>
        <w:gridCol w:w="1546"/>
        <w:gridCol w:w="1555"/>
        <w:gridCol w:w="109"/>
        <w:gridCol w:w="109"/>
        <w:gridCol w:w="109"/>
        <w:gridCol w:w="167"/>
        <w:gridCol w:w="167"/>
        <w:gridCol w:w="237"/>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97">
              <w:r>
                <w:rPr>
                  <w:rStyle w:val="InternetLink"/>
                  <w:rFonts w:ascii="Times New Roman;sans-serif" w:hAnsi="Times New Roman;sans-serif"/>
                  <w:b w:val="false"/>
                  <w:color w:val="0000FF"/>
                  <w:sz w:val="20"/>
                  <w:u w:val="single"/>
                </w:rPr>
                <w:t>Report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d45afef249804d8da0e74b876c5e7a95_97">
              <w:r>
                <w:rPr>
                  <w:rStyle w:val="InternetLink"/>
                  <w:rFonts w:ascii="Times New Roman;sans-serif" w:hAnsi="Times New Roman;sans-serif"/>
                  <w:b w:val="false"/>
                  <w:color w:val="0000FF"/>
                  <w:sz w:val="20"/>
                  <w:u w:val="single"/>
                </w:rPr>
                <w:t>65</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00">
              <w:r>
                <w:rPr>
                  <w:rStyle w:val="InternetLink"/>
                  <w:rFonts w:ascii="Times New Roman;sans-serif" w:hAnsi="Times New Roman;sans-serif"/>
                  <w:b w:val="false"/>
                  <w:color w:val="0000FF"/>
                  <w:sz w:val="20"/>
                  <w:u w:val="single"/>
                </w:rPr>
                <w:t>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00">
              <w:r>
                <w:rPr>
                  <w:rStyle w:val="InternetLink"/>
                  <w:rFonts w:ascii="Times New Roman;sans-serif" w:hAnsi="Times New Roman;sans-serif"/>
                  <w:b w:val="false"/>
                  <w:color w:val="0000FF"/>
                  <w:sz w:val="20"/>
                  <w:u w:val="single"/>
                </w:rPr>
                <w:t>67</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03">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03">
              <w:r>
                <w:rPr>
                  <w:rStyle w:val="InternetLink"/>
                  <w:rFonts w:ascii="Times New Roman;sans-serif" w:hAnsi="Times New Roman;sans-serif"/>
                  <w:b w:val="false"/>
                  <w:color w:val="0000FF"/>
                  <w:sz w:val="20"/>
                  <w:u w:val="single"/>
                </w:rPr>
                <w:t>68</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06">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06">
              <w:r>
                <w:rPr>
                  <w:rStyle w:val="InternetLink"/>
                  <w:rFonts w:ascii="Times New Roman;sans-serif" w:hAnsi="Times New Roman;sans-serif"/>
                  <w:b w:val="false"/>
                  <w:color w:val="0000FF"/>
                  <w:sz w:val="20"/>
                  <w:u w:val="single"/>
                </w:rPr>
                <w:t>69</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09">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09">
              <w:r>
                <w:rPr>
                  <w:rStyle w:val="InternetLink"/>
                  <w:rFonts w:ascii="Times New Roman;sans-serif" w:hAnsi="Times New Roman;sans-serif"/>
                  <w:b w:val="false"/>
                  <w:color w:val="0000FF"/>
                  <w:sz w:val="20"/>
                  <w:u w:val="single"/>
                </w:rPr>
                <w:t>70</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12">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12">
              <w:r>
                <w:rPr>
                  <w:rStyle w:val="InternetLink"/>
                  <w:rFonts w:ascii="Times New Roman;sans-serif" w:hAnsi="Times New Roman;sans-serif"/>
                  <w:b w:val="false"/>
                  <w:color w:val="0000FF"/>
                  <w:sz w:val="20"/>
                  <w:u w:val="single"/>
                </w:rPr>
                <w:t>71</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115">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45afef249804d8da0e74b876c5e7a95_115">
              <w:r>
                <w:rPr>
                  <w:rStyle w:val="InternetLink"/>
                  <w:rFonts w:ascii="Times New Roman;sans-serif" w:hAnsi="Times New Roman;sans-serif"/>
                  <w:b w:val="false"/>
                  <w:color w:val="0000FF"/>
                  <w:sz w:val="20"/>
                  <w:u w:val="single"/>
                </w:rPr>
                <w:t>73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Zoom Video Communications,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Opinions on the Consolidated Financial Statements and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Zoom Video Communications, Inc. and subsidiaries (the Company) as of January 31, 2024 and 2023, the related consolidated statements of operations, comprehensive income, stockholders’ equity, and cash flows for each of the years in the three-year period ended January 31, 2024, and the related notes and financial statement schedule II: valuation and qualifying accounts (collectively, the consolidated financial statements). We also have audited the Company’s internal control over financial reporting as of January 31, 2024, based on criteria established in Internal Control – Integrated Framework (2013) issued by the Committee of Sponsoring Organizations of the Treadway Commission.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January 31, 2024 and 2023, and the results of its operations and its cash flows for each of the years in the three-year period ended January 31, 2024, in conformity with U.S. generally accepted accounting principles. Also in our opinion, the Company maintained, in all material respects, effective internal control over financial reporting as of January 31, 2024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Sufficiency of Audit Evidence Over 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Notes 1 and 2 to the consolidated financial statements, the Company’s revenue is principally derived from the sale of subscriptions to the Company’s video communications platform. The Company recorded $4,527 million of revenue for the year ended January 31, 2024.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0"/>
        <w:gridCol w:w="2303"/>
        <w:gridCol w:w="2266"/>
        <w:gridCol w:w="196"/>
        <w:gridCol w:w="871"/>
        <w:gridCol w:w="109"/>
        <w:gridCol w:w="109"/>
        <w:gridCol w:w="109"/>
        <w:gridCol w:w="109"/>
        <w:gridCol w:w="196"/>
        <w:gridCol w:w="871"/>
        <w:gridCol w:w="156"/>
      </w:tblGrid>
      <w:tr>
        <w:trPr/>
        <w:tc>
          <w:tcPr>
            <w:tcW w:w="291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4,325,836 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$32,371 and $33,206 as of January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8,128,065 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1,921,458 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9)</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200,000,000 shares authorized as of January 31, 2024 and 2023; zero shares issued and outstanding as of January 31, 2024 and 2023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 2,000,000,000 Class A shares authorized as of January 31, 2024 and 2023; 260,896,822 and 247,151,956 shares issued and outstanding as of January 31, 2024 and 2023, respectively; 300,000,000 Class B shares authorized as of January 31, 2024 and 2023; 46,661,531 and 46,670,894 shares issued and outstanding as of January 31, 2024 and 2023,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8,019,406 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6,206,607 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9,929,793 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8,128,065 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040"/>
        <w:gridCol w:w="1462"/>
        <w:gridCol w:w="1461"/>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204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669" w:type="dxa"/>
            <w:gridSpan w:val="6"/>
            <w:tcBorders/>
          </w:tcPr>
          <w:p>
            <w:pPr>
              <w:pStyle w:val="TableContents"/>
              <w:bidi w:val="0"/>
              <w:spacing w:before="0" w:after="283"/>
              <w:jc w:val="left"/>
              <w:rPr>
                <w:sz w:val="4"/>
                <w:szCs w:val="4"/>
              </w:rPr>
            </w:pPr>
            <w:r>
              <w:rPr>
                <w:sz w:val="4"/>
                <w:szCs w:val="4"/>
              </w:rPr>
            </w:r>
          </w:p>
        </w:tc>
      </w:tr>
      <w:tr>
        <w:trPr/>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3,045,310 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1,981,719 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on strategic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attributable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300,748,162 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296,560,501 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296,334,894 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308,519,897 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304,231,350 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305,826,505 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993"/>
        <w:gridCol w:w="1627"/>
        <w:gridCol w:w="1642"/>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199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2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marketable securities, net of income tax (expense) benefit of $(15,501), $9,834, and $6,003 during the fiscal years ended January 31, 2024, 2023 and 2022,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726"/>
        <w:gridCol w:w="266"/>
        <w:gridCol w:w="268"/>
        <w:gridCol w:w="109"/>
        <w:gridCol w:w="109"/>
        <w:gridCol w:w="109"/>
        <w:gridCol w:w="155"/>
        <w:gridCol w:w="155"/>
        <w:gridCol w:w="588"/>
        <w:gridCol w:w="463"/>
        <w:gridCol w:w="156"/>
        <w:gridCol w:w="109"/>
        <w:gridCol w:w="109"/>
        <w:gridCol w:w="109"/>
        <w:gridCol w:w="235"/>
        <w:gridCol w:w="505"/>
        <w:gridCol w:w="131"/>
        <w:gridCol w:w="109"/>
        <w:gridCol w:w="109"/>
        <w:gridCol w:w="109"/>
        <w:gridCol w:w="202"/>
        <w:gridCol w:w="900"/>
        <w:gridCol w:w="114"/>
        <w:gridCol w:w="109"/>
        <w:gridCol w:w="109"/>
        <w:gridCol w:w="109"/>
        <w:gridCol w:w="198"/>
        <w:gridCol w:w="670"/>
        <w:gridCol w:w="110"/>
        <w:gridCol w:w="109"/>
        <w:gridCol w:w="109"/>
        <w:gridCol w:w="109"/>
        <w:gridCol w:w="196"/>
        <w:gridCol w:w="871"/>
        <w:gridCol w:w="109"/>
        <w:gridCol w:w="109"/>
        <w:gridCol w:w="109"/>
        <w:gridCol w:w="109"/>
        <w:gridCol w:w="196"/>
        <w:gridCol w:w="871"/>
        <w:gridCol w:w="158"/>
      </w:tblGrid>
      <w:tr>
        <w:trPr/>
        <w:tc>
          <w:tcPr>
            <w:tcW w:w="7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52" w:type="dxa"/>
            <w:gridSpan w:val="6"/>
            <w:tcBorders/>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293,549,223 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3,187,168 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3,860,767 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2,881,485 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488,210 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1,375,639 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299,037,805 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5,780,018 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(11,170,907)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(999,992)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1,292,839 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1,292,839 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293,822,850 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4,104,880 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2,151,818 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6,206,607 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11,349,453 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1,059,597 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307,558,353 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5,228,756 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8,019,406 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03"/>
        <w:gridCol w:w="1880"/>
        <w:gridCol w:w="1894"/>
        <w:gridCol w:w="196"/>
        <w:gridCol w:w="871"/>
        <w:gridCol w:w="109"/>
        <w:gridCol w:w="109"/>
        <w:gridCol w:w="109"/>
        <w:gridCol w:w="109"/>
        <w:gridCol w:w="196"/>
        <w:gridCol w:w="871"/>
        <w:gridCol w:w="109"/>
        <w:gridCol w:w="109"/>
        <w:gridCol w:w="109"/>
        <w:gridCol w:w="109"/>
        <w:gridCol w:w="196"/>
        <w:gridCol w:w="871"/>
        <w:gridCol w:w="155"/>
      </w:tblGrid>
      <w:tr>
        <w:trPr/>
        <w:tc>
          <w:tcPr>
            <w:tcW w:w="2203"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January 31,</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contract acquisition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on strategic investments,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accounts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(gains)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discount/premium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1,605,266 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(4,434,749)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(2,859,097)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repurchases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for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equity transactions (remitted) to be remitted to employees and tax authorities,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(1,219,763)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cash—beginning of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2173"/>
        <w:gridCol w:w="1897"/>
        <w:gridCol w:w="1907"/>
        <w:gridCol w:w="196"/>
        <w:gridCol w:w="871"/>
        <w:gridCol w:w="109"/>
        <w:gridCol w:w="109"/>
        <w:gridCol w:w="109"/>
        <w:gridCol w:w="109"/>
        <w:gridCol w:w="196"/>
        <w:gridCol w:w="871"/>
        <w:gridCol w:w="109"/>
        <w:gridCol w:w="109"/>
        <w:gridCol w:w="109"/>
        <w:gridCol w:w="109"/>
        <w:gridCol w:w="196"/>
        <w:gridCol w:w="871"/>
        <w:gridCol w:w="155"/>
      </w:tblGrid>
      <w:tr>
        <w:trPr/>
        <w:tc>
          <w:tcPr>
            <w:tcW w:w="217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information</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equipment during the period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within the consolidated balance sheets to the amounts shown in the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 included in other assets,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1,073,353 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ZOOM VIDEO COMMUNICATIONS,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1.</w:t>
      </w:r>
      <w:r>
        <w:rPr>
          <w:rFonts w:ascii="Times New Roman;sans-serif" w:hAnsi="Times New Roman;sans-serif"/>
          <w:b/>
          <w:color w:val="000000"/>
          <w:sz w:val="20"/>
        </w:rPr>
        <w:t>Summary of Business and Significant Accounting Policies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Zoom Video Communications, Inc. and its subsidiaries (collectively, “Zoom,” the “Company,” “we,” “us,” or “our”) provide a unified communications and collaboration platform that connects people through frictionless and secure meetings, phone, chat, content sharing and more. We were incorporated in the state of Delaware in April 2011, and are headquartered in San Jose, California.</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fiscal year ends on January 31. References to fiscal year 2024, for example, refer to the fiscal year ended January 31,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(“GAAP”) and include the accounts of Zoom Video Communications, Inc., its subsidiaries, and a variable interest entity for which we are the primary beneficiary. All intercompany balances and transactions have been eliminated in consolidation.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more than 10% of accounts receivable at January 31, 2024 or 2023. No single customer accounted for 10% or more of total revenue during the fiscal years ended January 31, 2024, 2023, or 2022.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in banks and highly liquid investments, primarily money market funds, purchased with an original maturity of three months or less.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certificates of deposit collateralizing our operating leases and cash from proceeds from international employees’ sales of our common stock, and is included in prepaid expenses and other current assets and other assets, noncurrent in the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2023, we had $6.9 million and $13.1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pStyle w:val="TextBody"/>
        <w:bidi w:val="0"/>
        <w:spacing w:lineRule="auto" w:line="288" w:before="24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Allowance for Credit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losses primarily through our accounts receivable and investments in available-for-sale debt securities. See Note 3 for additional information related to our available-for-sale debt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for invoiced amounts and amounts for which revenue has been recognized, but not invoiced, net of allowances. Our short-term accounts receivable consist of the following:</w:t>
      </w:r>
    </w:p>
    <w:tbl>
      <w:tblPr>
        <w:tblW w:w="6760" w:type="dxa"/>
        <w:jc w:val="left"/>
        <w:tblInd w:w="0" w:type="dxa"/>
        <w:tblLayout w:type="fixed"/>
        <w:tblCellMar>
          <w:top w:w="28" w:type="dxa"/>
          <w:left w:w="28" w:type="dxa"/>
          <w:bottom w:w="28" w:type="dxa"/>
          <w:right w:w="28" w:type="dxa"/>
        </w:tblCellMar>
      </w:tblPr>
      <w:tblGrid>
        <w:gridCol w:w="999"/>
        <w:gridCol w:w="877"/>
        <w:gridCol w:w="884"/>
        <w:gridCol w:w="334"/>
        <w:gridCol w:w="1308"/>
        <w:gridCol w:w="172"/>
        <w:gridCol w:w="109"/>
        <w:gridCol w:w="109"/>
        <w:gridCol w:w="109"/>
        <w:gridCol w:w="329"/>
        <w:gridCol w:w="1290"/>
        <w:gridCol w:w="240"/>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590,610 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returns</w:t>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536,078 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557,404 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Furthermore, the allowance for sales returns is recorded as an offset to accounts receivable, and changes to the allowance are classified as a reduction in revenue in the consolidated statements of operations. We estimate returns from sales to customers based on historical chargebacks and return rates.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January 31, 2024, our assessment considered the recent changes in macroeconomic conditions such as inflation, recessionary and uncertain environments, and fluctuations in foreign currency exchange rates has on our estimates of credit and collectibility trends. Below is a rollforward of our allowance for credit losses for the fiscal year ended January 31, 2024.</w:t>
      </w:r>
    </w:p>
    <w:tbl>
      <w:tblPr>
        <w:tblW w:w="5845" w:type="dxa"/>
        <w:jc w:val="left"/>
        <w:tblInd w:w="0" w:type="dxa"/>
        <w:tblLayout w:type="fixed"/>
        <w:tblCellMar>
          <w:top w:w="28" w:type="dxa"/>
          <w:left w:w="28" w:type="dxa"/>
          <w:bottom w:w="28" w:type="dxa"/>
          <w:right w:w="28" w:type="dxa"/>
        </w:tblCellMar>
      </w:tblPr>
      <w:tblGrid>
        <w:gridCol w:w="972"/>
        <w:gridCol w:w="855"/>
        <w:gridCol w:w="858"/>
        <w:gridCol w:w="282"/>
        <w:gridCol w:w="966"/>
        <w:gridCol w:w="146"/>
        <w:gridCol w:w="109"/>
        <w:gridCol w:w="109"/>
        <w:gridCol w:w="109"/>
        <w:gridCol w:w="279"/>
        <w:gridCol w:w="956"/>
        <w:gridCol w:w="20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year</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year</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Available-for-sale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other income (expense), net in the consolidated statements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hold strategic investments in publicly held equity securities and privately held debt and equity securities in which we do not have a controlling interest. Publicly held equity securities are measured using quoted prices in their respective active markets with changes recorded through gains (losses)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(losses) on strategic investments, net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based on the terms of these publicly traded and privately held securities, we determine that we exercise significant influence on the entity to which these securities relate, we will apply the equity method of accounting for such investments. Privately held equity securities that are accounted for under the equity method are measured at cost less any impairment, plus or minus our share of equity method investee income or loss, which is reported in gains (losses) on strategic investments, net in the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are recorded at fair value with changes in fair value recorded through accumulated other comprehensive income (loss) on the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 quarterly basis, we assess our privately held debt and equity securities in our strategic investment portfolio for indicators for impairment. As of January 31, 2024, we recognized an immaterial amount of impairment to our privately held debt and equity securities.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in active markets for identical assets or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Level 3—Unobservable inputs that are supported by little or no market activity and that are significant to the fair value of the assets or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certain development costs related to our unified communications and collaboration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have capitalized $8.1 million, $18.0 million, and $20.2 million of software development costs during the fiscal years ended January 31, 2024, 2023, and 2022, respectively.</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2024, 2023, or 2022.</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2024 and determined that no adjustment to the carrying value of goodwill was required.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primarily from subscription agreements with customers for access to our unified communications and collaboration platform and services. We also provide other services, which include professional services, consulting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determine revenue recognition through the following steps:</w:t>
      </w:r>
    </w:p>
    <w:p>
      <w:pPr>
        <w:pStyle w:val="TextBody"/>
        <w:bidi w:val="0"/>
        <w:spacing w:lineRule="auto" w:line="288" w:before="24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1.Identification of the contract, or contracts, with the customer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pStyle w:val="TextBody"/>
        <w:bidi w:val="0"/>
        <w:spacing w:lineRule="auto" w:line="288" w:before="24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2.Identification of the performance obligations in the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and collaboration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pStyle w:val="TextBody"/>
        <w:bidi w:val="0"/>
        <w:spacing w:lineRule="auto" w:line="288" w:before="24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3.Determination of the transaction price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unified communications and collaboration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pStyle w:val="TextBody"/>
        <w:bidi w:val="0"/>
        <w:spacing w:lineRule="auto" w:line="288" w:before="24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4.Allocation of the transaction price to the performance obligations in the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 </w:t>
      </w:r>
    </w:p>
    <w:p>
      <w:pPr>
        <w:pStyle w:val="TextBody"/>
        <w:bidi w:val="0"/>
        <w:spacing w:lineRule="auto" w:line="288" w:before="24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5.Recognition of the revenue when, or as, a performance obligation is satisfied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and collaboration platform and related services are subscription revenue and are considered one performance obligation, and the related revenue is recognized ratably over the subscription period as we satisfy the performance obligation.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are time-based arrangements and revenue is recognized as these services are performed. Fees for services represent less than 1% of total revenue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primarily consists of costs related to hosting our unified communications and collaboration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health care benefits, training, and other employee benefits are allocated to cost of revenue and operating expenses based on applicable headcount.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include personnel-related expenses associated with our engineering personnel and consultants responsible for the design, development, and testing of our unified communications and collaboration platform, depreciation of equipment used in research and development, and allocated overhead costs. Research and development costs are expensed as incurred.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in sales and marketing expense and amounted to $56.5 million, $64.7 million, and $40.9 million for the fiscal years ended January 31, 2024, 2023, and 2022,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related to stock awards (including stock options, RSUs, and ESPP) is measured based on the fair value of the awards granted and recognized as an expense on a straight-line basis over the requisite service period.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each RSU award is based on the fair value of the underlying common stock as of the grant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record uncertain tax positions in accordance with ASC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uncertain tax positions as a component of our provision for income taxes. Accrued interest and penalties are included with the related tax liability.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Income Per Share Attributable to Common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net income per share attributable to Class A and Class B common stock using the two-class method required for companies with participating securities. We consider our convertible preferred stock and unvested common stock, which includes early exercised stock options, to be participating securities as holders of such securities have non-forfeitable dividend rights in the event of our declaration of a dividend for shares of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operating segment. Operating segments are defined as components of an enterprise about which separate financial information is evaluated regularly by the chief operating decision maker, who is our CEO, in deciding how to allocate resources and assessing performance. Our chief operating decision maker allocates resources and assesses performance based upon consolidated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can be found in the revenue recognition disclosures in Note 2 below. The following table presents our property and equipment, net of depreciation and amortization, by geographic region:</w:t>
      </w:r>
    </w:p>
    <w:tbl>
      <w:tblPr>
        <w:tblW w:w="5885" w:type="dxa"/>
        <w:jc w:val="left"/>
        <w:tblInd w:w="0" w:type="dxa"/>
        <w:tblLayout w:type="fixed"/>
        <w:tblCellMar>
          <w:top w:w="28" w:type="dxa"/>
          <w:left w:w="28" w:type="dxa"/>
          <w:bottom w:w="28" w:type="dxa"/>
          <w:right w:w="28" w:type="dxa"/>
        </w:tblCellMar>
      </w:tblPr>
      <w:tblGrid>
        <w:gridCol w:w="1045"/>
        <w:gridCol w:w="919"/>
        <w:gridCol w:w="930"/>
        <w:gridCol w:w="109"/>
        <w:gridCol w:w="109"/>
        <w:gridCol w:w="109"/>
        <w:gridCol w:w="211"/>
        <w:gridCol w:w="826"/>
        <w:gridCol w:w="109"/>
        <w:gridCol w:w="109"/>
        <w:gridCol w:w="109"/>
        <w:gridCol w:w="109"/>
        <w:gridCol w:w="211"/>
        <w:gridCol w:w="826"/>
        <w:gridCol w:w="154"/>
      </w:tblGrid>
      <w:tr>
        <w:trPr/>
        <w:tc>
          <w:tcPr>
            <w:tcW w:w="104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We are currently evaluating the impact from the adoption of this ASU on our consolidated financial statements.</w:t>
      </w:r>
    </w:p>
    <w:p>
      <w:pPr>
        <w:pStyle w:val="TextBody"/>
        <w:bidi w:val="0"/>
        <w:spacing w:lineRule="auto" w:line="288" w:before="360" w:after="283"/>
        <w:ind w:left="0" w:right="0" w:firstLine="54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are currently evaluating the impact from the adoption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revenue by region based on the billing address of customers:</w:t>
      </w:r>
    </w:p>
    <w:tbl>
      <w:tblPr>
        <w:tblW w:w="11056"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109"/>
        <w:gridCol w:w="155"/>
        <w:gridCol w:w="155"/>
        <w:gridCol w:w="156"/>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1"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4586" w:type="dxa"/>
            <w:gridSpan w:val="18"/>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135" w:type="dxa"/>
            <w:gridSpan w:val="12"/>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28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$124.8 million and $91.6 million as of January 31, 2024 and 2023, respectively, and the amount of unbilled accounts receivable included within other assets, noncurrent on the consolidated balance sheets was immaterial as of January 31,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2024, 2023, and 2022 that was included in deferred revenue at the beginning of each period was $1,257.4 million, $1,140.7 million, and $858.2 million,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our subscription agreements are monthly, annual, and multiyear and we may bill for the full term in advance or on an annual, quarterly, or monthly basis, depending on the billing terms with customers. As of January 31, 2024, the aggregate amount of the transaction price allocated to our remaining performance obligations was $3,574.8 million, which consists of both billed consideration in the amount of $1,270.4 million and unbilled consideration in the amount of $2,304.4 million that we expect to recognize as revenue. We expect to recognize 58% of our remaining performance obligations as revenue over the next 12 months and the remainder thereafter.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to Obtain a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commissions paid upon the initial acquisition of a customer contract are amortized over an estimated period of benefit of three years, which is typically greater than the contractual terms of the customer contracts. Generally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Amortization of deferred contract acquisition costs is included in sales and marketing expense in the consolidated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review these deferred contract acquisition costs to determine whether events or changes in circumstances have occurred that could impact the period of benefit. There were no impairment losses recorded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deferred contract acquisition costs:</w:t>
      </w:r>
    </w:p>
    <w:tbl>
      <w:tblPr>
        <w:tblW w:w="9516" w:type="dxa"/>
        <w:jc w:val="left"/>
        <w:tblInd w:w="0" w:type="dxa"/>
        <w:tblLayout w:type="fixed"/>
        <w:tblCellMar>
          <w:top w:w="28" w:type="dxa"/>
          <w:left w:w="28" w:type="dxa"/>
          <w:bottom w:w="28" w:type="dxa"/>
          <w:right w:w="28" w:type="dxa"/>
        </w:tblCellMar>
      </w:tblPr>
      <w:tblGrid>
        <w:gridCol w:w="2365"/>
        <w:gridCol w:w="2075"/>
        <w:gridCol w:w="2085"/>
        <w:gridCol w:w="109"/>
        <w:gridCol w:w="109"/>
        <w:gridCol w:w="109"/>
        <w:gridCol w:w="211"/>
        <w:gridCol w:w="826"/>
        <w:gridCol w:w="109"/>
        <w:gridCol w:w="109"/>
        <w:gridCol w:w="109"/>
        <w:gridCol w:w="109"/>
        <w:gridCol w:w="211"/>
        <w:gridCol w:w="826"/>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contract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current (to be amortized in next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223,250 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contract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and 2023, our marketable securities consisted of the following: </w:t>
      </w:r>
    </w:p>
    <w:tbl>
      <w:tblPr>
        <w:tblW w:w="8730"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11"/>
        <w:gridCol w:w="721"/>
        <w:gridCol w:w="109"/>
        <w:gridCol w:w="109"/>
        <w:gridCol w:w="109"/>
        <w:gridCol w:w="109"/>
        <w:gridCol w:w="211"/>
        <w:gridCol w:w="796"/>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75" w:type="dxa"/>
        <w:jc w:val="left"/>
        <w:tblInd w:w="0" w:type="dxa"/>
        <w:tblLayout w:type="fixed"/>
        <w:tblCellMar>
          <w:top w:w="28" w:type="dxa"/>
          <w:left w:w="28" w:type="dxa"/>
          <w:bottom w:w="28" w:type="dxa"/>
          <w:right w:w="28" w:type="dxa"/>
        </w:tblCellMar>
      </w:tblPr>
      <w:tblGrid>
        <w:gridCol w:w="1070"/>
        <w:gridCol w:w="941"/>
        <w:gridCol w:w="944"/>
        <w:gridCol w:w="211"/>
        <w:gridCol w:w="976"/>
        <w:gridCol w:w="109"/>
        <w:gridCol w:w="109"/>
        <w:gridCol w:w="109"/>
        <w:gridCol w:w="109"/>
        <w:gridCol w:w="237"/>
        <w:gridCol w:w="525"/>
        <w:gridCol w:w="124"/>
        <w:gridCol w:w="109"/>
        <w:gridCol w:w="109"/>
        <w:gridCol w:w="109"/>
        <w:gridCol w:w="211"/>
        <w:gridCol w:w="796"/>
        <w:gridCol w:w="109"/>
        <w:gridCol w:w="109"/>
        <w:gridCol w:w="109"/>
        <w:gridCol w:w="109"/>
        <w:gridCol w:w="211"/>
        <w:gridCol w:w="97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losses for securities that have been in an unrealized loss position for less than 12 months were $6.0 million and $24.8 million as of January 31, 2024 and 2023, respectively. Unrealized losses for securities that have been in an unrealized loss position for 12 months or longer were $4.8 million and $42.0 million as of January 31, 2024 and 2023,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(loss) income for the fiscal years ended January 31, 2024,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our marketable securities as of January 31, 2024 and 2023:</w:t>
      </w:r>
    </w:p>
    <w:tbl>
      <w:tblPr>
        <w:tblW w:w="5004" w:type="dxa"/>
        <w:jc w:val="left"/>
        <w:tblInd w:w="0" w:type="dxa"/>
        <w:tblLayout w:type="fixed"/>
        <w:tblCellMar>
          <w:top w:w="28" w:type="dxa"/>
          <w:left w:w="28" w:type="dxa"/>
          <w:bottom w:w="28" w:type="dxa"/>
          <w:right w:w="28" w:type="dxa"/>
        </w:tblCellMar>
      </w:tblPr>
      <w:tblGrid>
        <w:gridCol w:w="738"/>
        <w:gridCol w:w="649"/>
        <w:gridCol w:w="653"/>
        <w:gridCol w:w="211"/>
        <w:gridCol w:w="976"/>
        <w:gridCol w:w="109"/>
        <w:gridCol w:w="109"/>
        <w:gridCol w:w="109"/>
        <w:gridCol w:w="109"/>
        <w:gridCol w:w="211"/>
        <w:gridCol w:w="97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2,883,598 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2,743,677 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5,404,233 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January 31, 2024 were as follows:</w:t>
      </w:r>
    </w:p>
    <w:tbl>
      <w:tblPr>
        <w:tblW w:w="8207" w:type="dxa"/>
        <w:jc w:val="left"/>
        <w:tblInd w:w="0" w:type="dxa"/>
        <w:tblLayout w:type="fixed"/>
        <w:tblCellMar>
          <w:top w:w="28" w:type="dxa"/>
          <w:left w:w="28" w:type="dxa"/>
          <w:bottom w:w="28" w:type="dxa"/>
          <w:right w:w="28" w:type="dxa"/>
        </w:tblCellMar>
      </w:tblPr>
      <w:tblGrid>
        <w:gridCol w:w="674"/>
        <w:gridCol w:w="591"/>
        <w:gridCol w:w="594"/>
        <w:gridCol w:w="211"/>
        <w:gridCol w:w="721"/>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285,509 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Strategic investments by form and measurement category as of January 31, 2023 were as follows:</w:t>
      </w:r>
    </w:p>
    <w:tbl>
      <w:tblPr>
        <w:tblW w:w="8312" w:type="dxa"/>
        <w:jc w:val="left"/>
        <w:tblInd w:w="0" w:type="dxa"/>
        <w:tblLayout w:type="fixed"/>
        <w:tblCellMar>
          <w:top w:w="28" w:type="dxa"/>
          <w:left w:w="28" w:type="dxa"/>
          <w:bottom w:w="28" w:type="dxa"/>
          <w:right w:w="28" w:type="dxa"/>
        </w:tblCellMar>
      </w:tblPr>
      <w:tblGrid>
        <w:gridCol w:w="674"/>
        <w:gridCol w:w="591"/>
        <w:gridCol w:w="594"/>
        <w:gridCol w:w="211"/>
        <w:gridCol w:w="826"/>
        <w:gridCol w:w="109"/>
        <w:gridCol w:w="109"/>
        <w:gridCol w:w="109"/>
        <w:gridCol w:w="109"/>
        <w:gridCol w:w="359"/>
        <w:gridCol w:w="1406"/>
        <w:gridCol w:w="185"/>
        <w:gridCol w:w="109"/>
        <w:gridCol w:w="109"/>
        <w:gridCol w:w="109"/>
        <w:gridCol w:w="240"/>
        <w:gridCol w:w="821"/>
        <w:gridCol w:w="124"/>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2024, we made a total of $70.5 million of strategic investments in equity securities of private companies. Based on the terms of these privately-held securities, we determined that we do not have a controlling interest nor the ability to exercise significant influence over the operating and financial policies of the investees. Therefore these investments are currently accounted for under the measurement alternative method. In addition, during the fiscal year ended January 31, 2024, we recorded a $85.6 million net unrealized gain on our investments accounted for under the measurement alternative method, mainly driven by changes in the fair value of these investments.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2024, we sold a total of $169.9 million of strategic investments in equity securities of public companies. The net gains on sale, which were not material, were recorded through gains (losses) on strategic investments, net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our financial instruments that are measured at fair value on a recurring basis and indicate the fair value hierarchy of the valuation inputs utilized to determine such fair value:</w:t>
      </w:r>
    </w:p>
    <w:tbl>
      <w:tblPr>
        <w:tblW w:w="10205" w:type="dxa"/>
        <w:jc w:val="left"/>
        <w:tblInd w:w="0" w:type="dxa"/>
        <w:tblLayout w:type="fixed"/>
        <w:tblCellMar>
          <w:top w:w="28" w:type="dxa"/>
          <w:left w:w="28" w:type="dxa"/>
          <w:bottom w:w="28" w:type="dxa"/>
          <w:right w:w="28" w:type="dxa"/>
        </w:tblCellMar>
      </w:tblPr>
      <w:tblGrid>
        <w:gridCol w:w="1655"/>
        <w:gridCol w:w="1418"/>
        <w:gridCol w:w="143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5"/>
      </w:tblGrid>
      <w:tr>
        <w:trPr/>
        <w:tc>
          <w:tcPr>
            <w:tcW w:w="165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9"/>
        <w:gridCol w:w="1385"/>
        <w:gridCol w:w="139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55"/>
      </w:tblGrid>
      <w:tr>
        <w:trPr/>
        <w:tc>
          <w:tcPr>
            <w:tcW w:w="161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 included in other assets, noncurrent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Publicly held equity securities included in strategic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5.    Business Combinations</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Solvvy, Inc.</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allocating the purchase consideration, $95.0 million was attributed to goodwill, $26.7 million to intangible assets (consisting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date of the acquisition, the developed technology and customer relationships both had an estimated useful life of 5.0 years, and both are amortized using the straight-line method over their respective estimated useful lives. Amortization expense of developed technology is recorded within cost of revenue in the consolidated statements of operations and amortization expense of customer relationships is recorded within sales and marketing in the consolidated statements of operations. As of January 31, 2024, the developed technology and customer relationships both had a remaining useful life of 3.3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 in connection with the acquisition were immaterial. The results of operations of Solvvy, Inc.,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Workvivo Limited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date of the acquisition, the developed technology and customer relationships both had an estimated useful life of 5.0 years, and both are amortized using the straight-line method over their respective estimated useful lives. Amortization expense of developed technology is recorded within cost of revenue in the consolidated statements of operations and amortization expense of customer relationships is recorded within sales and marketing in the consolidated statements of operations. As of January 31, 2024, the developed technology and customer relationships both had a remaining useful life of 4.2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incurred in connection with the acquisition were immaterial. The results of operations of Workvivo, which are not material, have been included in our consolidated financial statements from the date of the acquisition. Pro forma and historical results of operations of the company have not been presented, as the results do not have a material effect on any of the periods presented 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Balance Sheet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7284" w:type="dxa"/>
        <w:jc w:val="left"/>
        <w:tblInd w:w="0" w:type="dxa"/>
        <w:tblLayout w:type="fixed"/>
        <w:tblCellMar>
          <w:top w:w="28" w:type="dxa"/>
          <w:left w:w="28" w:type="dxa"/>
          <w:bottom w:w="28" w:type="dxa"/>
          <w:right w:w="28" w:type="dxa"/>
        </w:tblCellMar>
      </w:tblPr>
      <w:tblGrid>
        <w:gridCol w:w="1674"/>
        <w:gridCol w:w="1467"/>
        <w:gridCol w:w="1479"/>
        <w:gridCol w:w="211"/>
        <w:gridCol w:w="826"/>
        <w:gridCol w:w="109"/>
        <w:gridCol w:w="109"/>
        <w:gridCol w:w="109"/>
        <w:gridCol w:w="109"/>
        <w:gridCol w:w="211"/>
        <w:gridCol w:w="82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from international employee stock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6774" w:type="dxa"/>
        <w:jc w:val="left"/>
        <w:tblInd w:w="0" w:type="dxa"/>
        <w:tblLayout w:type="fixed"/>
        <w:tblCellMar>
          <w:top w:w="28" w:type="dxa"/>
          <w:left w:w="28" w:type="dxa"/>
          <w:bottom w:w="28" w:type="dxa"/>
          <w:right w:w="28" w:type="dxa"/>
        </w:tblCellMar>
      </w:tblPr>
      <w:tblGrid>
        <w:gridCol w:w="1481"/>
        <w:gridCol w:w="1306"/>
        <w:gridCol w:w="1323"/>
        <w:gridCol w:w="211"/>
        <w:gridCol w:w="826"/>
        <w:gridCol w:w="109"/>
        <w:gridCol w:w="109"/>
        <w:gridCol w:w="109"/>
        <w:gridCol w:w="109"/>
        <w:gridCol w:w="211"/>
        <w:gridCol w:w="82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Leasehold improvements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fixtures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$91.9 million, $77.0 million, and $47.5 million for the fiscal years ended January 31, 2024, 2023, and 2022, respectively.</w:t>
      </w:r>
    </w:p>
    <w:p>
      <w:pPr>
        <w:pStyle w:val="TextBody"/>
        <w:bidi w:val="0"/>
        <w:spacing w:before="24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Assets,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noncurrent consisted of the following:</w:t>
      </w:r>
    </w:p>
    <w:tbl>
      <w:tblPr>
        <w:tblW w:w="6398" w:type="dxa"/>
        <w:jc w:val="left"/>
        <w:tblInd w:w="0" w:type="dxa"/>
        <w:tblLayout w:type="fixed"/>
        <w:tblCellMar>
          <w:top w:w="28" w:type="dxa"/>
          <w:left w:w="28" w:type="dxa"/>
          <w:bottom w:w="28" w:type="dxa"/>
          <w:right w:w="28" w:type="dxa"/>
        </w:tblCellMar>
      </w:tblPr>
      <w:tblGrid>
        <w:gridCol w:w="1352"/>
        <w:gridCol w:w="1187"/>
        <w:gridCol w:w="1195"/>
        <w:gridCol w:w="211"/>
        <w:gridCol w:w="826"/>
        <w:gridCol w:w="109"/>
        <w:gridCol w:w="109"/>
        <w:gridCol w:w="109"/>
        <w:gridCol w:w="109"/>
        <w:gridCol w:w="211"/>
        <w:gridCol w:w="82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w:t>
      </w:r>
    </w:p>
    <w:tbl>
      <w:tblPr>
        <w:tblW w:w="6489" w:type="dxa"/>
        <w:jc w:val="left"/>
        <w:tblInd w:w="0" w:type="dxa"/>
        <w:tblLayout w:type="fixed"/>
        <w:tblCellMar>
          <w:top w:w="28" w:type="dxa"/>
          <w:left w:w="28" w:type="dxa"/>
          <w:bottom w:w="28" w:type="dxa"/>
          <w:right w:w="28" w:type="dxa"/>
        </w:tblCellMar>
      </w:tblPr>
      <w:tblGrid>
        <w:gridCol w:w="1386"/>
        <w:gridCol w:w="1215"/>
        <w:gridCol w:w="1224"/>
        <w:gridCol w:w="211"/>
        <w:gridCol w:w="826"/>
        <w:gridCol w:w="109"/>
        <w:gridCol w:w="109"/>
        <w:gridCol w:w="109"/>
        <w:gridCol w:w="109"/>
        <w:gridCol w:w="211"/>
        <w:gridCol w:w="82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Liabilities, Noncurrent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consisted of the following:</w:t>
      </w:r>
    </w:p>
    <w:tbl>
      <w:tblPr>
        <w:tblW w:w="5949" w:type="dxa"/>
        <w:jc w:val="left"/>
        <w:tblInd w:w="0" w:type="dxa"/>
        <w:tblLayout w:type="fixed"/>
        <w:tblCellMar>
          <w:top w:w="28" w:type="dxa"/>
          <w:left w:w="28" w:type="dxa"/>
          <w:bottom w:w="28" w:type="dxa"/>
          <w:right w:w="28" w:type="dxa"/>
        </w:tblCellMar>
      </w:tblPr>
      <w:tblGrid>
        <w:gridCol w:w="1266"/>
        <w:gridCol w:w="1113"/>
        <w:gridCol w:w="1116"/>
        <w:gridCol w:w="211"/>
        <w:gridCol w:w="721"/>
        <w:gridCol w:w="109"/>
        <w:gridCol w:w="109"/>
        <w:gridCol w:w="109"/>
        <w:gridCol w:w="109"/>
        <w:gridCol w:w="211"/>
        <w:gridCol w:w="721"/>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other non-income tax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Operating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have entered into various operating lease agreements for office space, with remaining contractual periods of up to five years. We also enter into equipment operating lease agreements related to our Hardware-as-a-Service (“HaaS”) offering. We elect to apply the lessor practical expedient per ASC 842 and account for HaaS with customers as a combined performance obligation with the right to access our unified communications and collaboration platform 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HaaS was immaterial to our consolidated financial statements.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w:t>
      </w:r>
      <w:r>
        <w:rPr>
          <w:rFonts w:ascii="Times New Roman;sans-serif" w:hAnsi="Times New Roman;sans-serif"/>
          <w:b w:val="false"/>
          <w:color w:val="000000"/>
          <w:sz w:val="20"/>
          <w:shd w:fill="FFFFFF" w:val="clear"/>
        </w:rPr>
        <w:t xml:space="preserve">Operating lease expense for the fiscal years ended January 31, 2024, </w:t>
      </w:r>
      <w:r>
        <w:rPr>
          <w:rFonts w:ascii="Times New Roman;sans-serif" w:hAnsi="Times New Roman;sans-serif"/>
          <w:b w:val="false"/>
          <w:color w:val="000000"/>
          <w:sz w:val="20"/>
        </w:rPr>
        <w:t xml:space="preserve">2023 and 2022 </w:t>
      </w:r>
      <w:r>
        <w:rPr>
          <w:rFonts w:ascii="Times New Roman;sans-serif" w:hAnsi="Times New Roman;sans-serif"/>
          <w:b w:val="false"/>
          <w:color w:val="000000"/>
          <w:sz w:val="20"/>
          <w:shd w:fill="FFFFFF" w:val="clear"/>
        </w:rPr>
        <w:t xml:space="preserve">was $24.9 million, </w:t>
      </w:r>
      <w:r>
        <w:rPr>
          <w:rFonts w:ascii="Times New Roman;sans-serif" w:hAnsi="Times New Roman;sans-serif"/>
          <w:b w:val="false"/>
          <w:color w:val="000000"/>
          <w:sz w:val="20"/>
        </w:rPr>
        <w:t>$32.7 million and $22.8 million</w:t>
      </w:r>
      <w:r>
        <w:rPr>
          <w:rFonts w:ascii="Times New Roman;sans-serif" w:hAnsi="Times New Roman;sans-serif"/>
          <w:b w:val="false"/>
          <w:color w:val="000000"/>
          <w:sz w:val="20"/>
          <w:shd w:fill="FFFFFF" w:val="clear"/>
        </w:rPr>
        <w:t xml:space="preserve">, respectively, excluding short-term lease costs, variable lease costs, and sublease income, each of which was immaterial for the fiscal years ended </w:t>
      </w:r>
      <w:r>
        <w:rPr>
          <w:rFonts w:ascii="Times New Roman;sans-serif" w:hAnsi="Times New Roman;sans-serif"/>
          <w:b w:val="false"/>
          <w:color w:val="000000"/>
          <w:sz w:val="20"/>
        </w:rPr>
        <w:t>January 31, 2024, 2023 and 2022</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was as follows:</w:t>
      </w:r>
    </w:p>
    <w:p>
      <w:pPr>
        <w:pStyle w:val="TextBody"/>
        <w:bidi w:val="0"/>
        <w:spacing w:before="120" w:after="283"/>
        <w:ind w:left="0" w:right="0" w:firstLine="540"/>
        <w:jc w:val="both"/>
        <w:rPr/>
      </w:pPr>
      <w:r>
        <w:rPr/>
      </w:r>
    </w:p>
    <w:tbl>
      <w:tblPr>
        <w:tblW w:w="7030" w:type="dxa"/>
        <w:jc w:val="left"/>
        <w:tblInd w:w="0" w:type="dxa"/>
        <w:tblLayout w:type="fixed"/>
        <w:tblCellMar>
          <w:top w:w="28" w:type="dxa"/>
          <w:left w:w="28" w:type="dxa"/>
          <w:bottom w:w="28" w:type="dxa"/>
          <w:right w:w="28" w:type="dxa"/>
        </w:tblCellMar>
      </w:tblPr>
      <w:tblGrid>
        <w:gridCol w:w="1384"/>
        <w:gridCol w:w="1215"/>
        <w:gridCol w:w="1226"/>
        <w:gridCol w:w="243"/>
        <w:gridCol w:w="833"/>
        <w:gridCol w:w="313"/>
        <w:gridCol w:w="125"/>
        <w:gridCol w:w="125"/>
        <w:gridCol w:w="125"/>
        <w:gridCol w:w="243"/>
        <w:gridCol w:w="833"/>
        <w:gridCol w:w="365"/>
      </w:tblGrid>
      <w:tr>
        <w:trPr/>
        <w:tc>
          <w:tcPr>
            <w:tcW w:w="138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life and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96,477 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years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operating leases was as follows:</w:t>
      </w:r>
    </w:p>
    <w:tbl>
      <w:tblPr>
        <w:tblW w:w="10205" w:type="dxa"/>
        <w:jc w:val="left"/>
        <w:tblInd w:w="0" w:type="dxa"/>
        <w:tblLayout w:type="fixed"/>
        <w:tblCellMar>
          <w:top w:w="28" w:type="dxa"/>
          <w:left w:w="28" w:type="dxa"/>
          <w:bottom w:w="28" w:type="dxa"/>
          <w:right w:w="28" w:type="dxa"/>
        </w:tblCellMar>
      </w:tblPr>
      <w:tblGrid>
        <w:gridCol w:w="2314"/>
        <w:gridCol w:w="2028"/>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the measurement of our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recognized in exchange for new operating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 future minimum lease payments included in the measurement of our operating lease liabilities are as follows:</w:t>
      </w:r>
    </w:p>
    <w:tbl>
      <w:tblPr>
        <w:tblW w:w="4513" w:type="dxa"/>
        <w:jc w:val="left"/>
        <w:tblInd w:w="0" w:type="dxa"/>
        <w:tblLayout w:type="fixed"/>
        <w:tblCellMar>
          <w:top w:w="28" w:type="dxa"/>
          <w:left w:w="28" w:type="dxa"/>
          <w:bottom w:w="28" w:type="dxa"/>
          <w:right w:w="28" w:type="dxa"/>
        </w:tblCellMar>
      </w:tblPr>
      <w:tblGrid>
        <w:gridCol w:w="961"/>
        <w:gridCol w:w="845"/>
        <w:gridCol w:w="848"/>
        <w:gridCol w:w="361"/>
        <w:gridCol w:w="1235"/>
        <w:gridCol w:w="263"/>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January 31,</w:t>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72,953 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Goodwill and Intangible Assets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during the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7460" w:type="dxa"/>
        <w:jc w:val="left"/>
        <w:tblInd w:w="0" w:type="dxa"/>
        <w:tblLayout w:type="fixed"/>
        <w:tblCellMar>
          <w:top w:w="28" w:type="dxa"/>
          <w:left w:w="28" w:type="dxa"/>
          <w:bottom w:w="28" w:type="dxa"/>
          <w:right w:w="28" w:type="dxa"/>
        </w:tblCellMar>
      </w:tblPr>
      <w:tblGrid>
        <w:gridCol w:w="1618"/>
        <w:gridCol w:w="1423"/>
        <w:gridCol w:w="1428"/>
        <w:gridCol w:w="109"/>
        <w:gridCol w:w="109"/>
        <w:gridCol w:w="109"/>
        <w:gridCol w:w="211"/>
        <w:gridCol w:w="826"/>
        <w:gridCol w:w="109"/>
        <w:gridCol w:w="109"/>
        <w:gridCol w:w="109"/>
        <w:gridCol w:w="109"/>
        <w:gridCol w:w="211"/>
        <w:gridCol w:w="826"/>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2024, we acquired Workvivo, and recorded goodwill of $184.7 million. During the fiscal year ended January 31, 2023, we acquired Solvvy, Inc., and recorded goodwill of $95.0 million. See Note 5 for additional information related to these acquisitions.</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Intangibles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intangible assets with a finite useful life included within other asset, noncurrent on the consolidated balance sheet:</w:t>
      </w:r>
    </w:p>
    <w:tbl>
      <w:tblPr>
        <w:tblW w:w="10205" w:type="dxa"/>
        <w:jc w:val="left"/>
        <w:tblInd w:w="0" w:type="dxa"/>
        <w:tblLayout w:type="fixed"/>
        <w:tblCellMar>
          <w:top w:w="28" w:type="dxa"/>
          <w:left w:w="28" w:type="dxa"/>
          <w:bottom w:w="28" w:type="dxa"/>
          <w:right w:w="28" w:type="dxa"/>
        </w:tblCellMar>
      </w:tblPr>
      <w:tblGrid>
        <w:gridCol w:w="470"/>
        <w:gridCol w:w="414"/>
        <w:gridCol w:w="415"/>
        <w:gridCol w:w="109"/>
        <w:gridCol w:w="109"/>
        <w:gridCol w:w="109"/>
        <w:gridCol w:w="237"/>
        <w:gridCol w:w="811"/>
        <w:gridCol w:w="122"/>
        <w:gridCol w:w="109"/>
        <w:gridCol w:w="109"/>
        <w:gridCol w:w="109"/>
        <w:gridCol w:w="239"/>
        <w:gridCol w:w="873"/>
        <w:gridCol w:w="123"/>
        <w:gridCol w:w="109"/>
        <w:gridCol w:w="109"/>
        <w:gridCol w:w="109"/>
        <w:gridCol w:w="211"/>
        <w:gridCol w:w="721"/>
        <w:gridCol w:w="109"/>
        <w:gridCol w:w="109"/>
        <w:gridCol w:w="109"/>
        <w:gridCol w:w="109"/>
        <w:gridCol w:w="237"/>
        <w:gridCol w:w="811"/>
        <w:gridCol w:w="122"/>
        <w:gridCol w:w="109"/>
        <w:gridCol w:w="109"/>
        <w:gridCol w:w="109"/>
        <w:gridCol w:w="273"/>
        <w:gridCol w:w="819"/>
        <w:gridCol w:w="142"/>
        <w:gridCol w:w="109"/>
        <w:gridCol w:w="109"/>
        <w:gridCol w:w="109"/>
        <w:gridCol w:w="211"/>
        <w:gridCol w:w="721"/>
        <w:gridCol w:w="162"/>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Value</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was $12.5 million and $5.3 million for the years ended January 31, 2024 and 2023, respectively, and less than $1.0 million for the year ended January 31,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amortization expense for each of the five succeeding fiscal years and thereafter is as follows:</w:t>
      </w:r>
    </w:p>
    <w:tbl>
      <w:tblPr>
        <w:tblW w:w="4199" w:type="dxa"/>
        <w:jc w:val="left"/>
        <w:tblInd w:w="0" w:type="dxa"/>
        <w:tblLayout w:type="fixed"/>
        <w:tblCellMar>
          <w:top w:w="28" w:type="dxa"/>
          <w:left w:w="28" w:type="dxa"/>
          <w:bottom w:w="28" w:type="dxa"/>
          <w:right w:w="28" w:type="dxa"/>
        </w:tblCellMar>
      </w:tblPr>
      <w:tblGrid>
        <w:gridCol w:w="847"/>
        <w:gridCol w:w="744"/>
        <w:gridCol w:w="748"/>
        <w:gridCol w:w="544"/>
        <w:gridCol w:w="544"/>
        <w:gridCol w:w="772"/>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January 31,</w:t>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46,935 </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intangible assets with an indefinite useful life included within other asset, noncurrent on the consolidated balance sheet:</w:t>
      </w:r>
    </w:p>
    <w:tbl>
      <w:tblPr>
        <w:tblW w:w="4955" w:type="dxa"/>
        <w:jc w:val="left"/>
        <w:tblInd w:w="0" w:type="dxa"/>
        <w:tblLayout w:type="fixed"/>
        <w:tblCellMar>
          <w:top w:w="28" w:type="dxa"/>
          <w:left w:w="28" w:type="dxa"/>
          <w:bottom w:w="28" w:type="dxa"/>
          <w:right w:w="28" w:type="dxa"/>
        </w:tblCellMar>
      </w:tblPr>
      <w:tblGrid>
        <w:gridCol w:w="787"/>
        <w:gridCol w:w="691"/>
        <w:gridCol w:w="696"/>
        <w:gridCol w:w="109"/>
        <w:gridCol w:w="109"/>
        <w:gridCol w:w="109"/>
        <w:gridCol w:w="211"/>
        <w:gridCol w:w="721"/>
        <w:gridCol w:w="109"/>
        <w:gridCol w:w="109"/>
        <w:gridCol w:w="109"/>
        <w:gridCol w:w="109"/>
        <w:gridCol w:w="211"/>
        <w:gridCol w:w="72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and IP Addresses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January 31, 2024, 2023 and 2022, there were no intangible assets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Non-cancelable Purchase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enter into non-cancelable purchase commitments with various parties to purchase primarily software-based services. As of January 31, 2024, we had outstanding non-cancelable purchase obligations with a term of less than 12 months of $247.4 million and non-cancelable purchase obligations with a term 12 months or longer of $368.4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Indemnifications and Contingency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Other Tax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2024 and 2023, we recorded sales and other tax liabilities of $77.7 million and $76.2 million, respectively, of which $35.5 million and $33.9 million are included in accrued expenses and other current liabilities, respectively, and $42.3 million and $42.3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vigorously defending ourselves against these lawsuits.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which the district court approved on December 16, 2022. On January 13, 2023, a new objector appealed the court’s December 16, 2022 approval of the settlements of the prior appeals, and on March 31, 2023, the Ninth Circuit dismissed the new appeal. With the appeals resolved, the class action settlement is final and the settlement administrator is in the process of making payments to claimants.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is not currently scheduled. As a result of the settlement, we made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Stockholders’ Equity and Equity Incentive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Dual-Class Common Stock 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the effectiveness of the amended and restated certificate of incorporation in November 2018, the number of shares of common stock that are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following shares of Class A common stock reserved for future issuance:</w:t>
      </w:r>
    </w:p>
    <w:tbl>
      <w:tblPr>
        <w:tblW w:w="9699" w:type="dxa"/>
        <w:jc w:val="left"/>
        <w:tblInd w:w="0" w:type="dxa"/>
        <w:tblLayout w:type="fixed"/>
        <w:tblCellMar>
          <w:top w:w="28" w:type="dxa"/>
          <w:left w:w="28" w:type="dxa"/>
          <w:bottom w:w="28" w:type="dxa"/>
          <w:right w:w="28" w:type="dxa"/>
        </w:tblCellMar>
      </w:tblPr>
      <w:tblGrid>
        <w:gridCol w:w="2308"/>
        <w:gridCol w:w="2031"/>
        <w:gridCol w:w="2035"/>
        <w:gridCol w:w="109"/>
        <w:gridCol w:w="109"/>
        <w:gridCol w:w="109"/>
        <w:gridCol w:w="540"/>
        <w:gridCol w:w="541"/>
        <w:gridCol w:w="156"/>
        <w:gridCol w:w="154"/>
        <w:gridCol w:w="154"/>
        <w:gridCol w:w="154"/>
        <w:gridCol w:w="540"/>
        <w:gridCol w:w="541"/>
        <w:gridCol w:w="218"/>
      </w:tblGrid>
      <w:tr>
        <w:trPr/>
        <w:tc>
          <w:tcPr>
            <w:tcW w:w="230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3,314,228 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4,800,616 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26,040,557 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21,868,533 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ESPP purchase rights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2,851,856 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shares available for future issuance under the 2011 and 2019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50,559,254 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51,367,359 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shares available for future issuance under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14,712,385 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11,930,797 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Class A common stock reserved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96,713,028 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92,819,161 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Stock Repurchase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our Board of Directors authorized a stock repurchase program of up to $1.0 billion of our Class A common stock, which was completed in December 2022. During the year ended January 31, 2023, we purchased and subsequently retired 11,170,907 shares of our Class A common stock for an aggregate amount of $1.0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new stock repurchase program of up to $1.5 billion of our Class A common stock. See Note 14, "Subsequent Events" for additional information related to the authorized stock repurchase program.</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we adopted the 2019 Plan, which became effective in connection with our IPO. Our 2019 Plan provides for the grant of stock options, stock appreciation rights,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pStyle w:val="TextBody"/>
        <w:bidi w:val="0"/>
        <w:spacing w:before="120" w:after="283"/>
        <w:ind w:left="0" w:right="0" w:firstLine="540"/>
        <w:jc w:val="both"/>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under our equity incentive plan and related information is as follows:</w:t>
      </w:r>
    </w:p>
    <w:tbl>
      <w:tblPr>
        <w:tblW w:w="10132" w:type="dxa"/>
        <w:jc w:val="left"/>
        <w:tblInd w:w="0" w:type="dxa"/>
        <w:tblLayout w:type="fixed"/>
        <w:tblCellMar>
          <w:top w:w="28" w:type="dxa"/>
          <w:left w:w="28" w:type="dxa"/>
          <w:bottom w:w="28" w:type="dxa"/>
          <w:right w:w="28" w:type="dxa"/>
        </w:tblCellMar>
      </w:tblPr>
      <w:tblGrid>
        <w:gridCol w:w="1565"/>
        <w:gridCol w:w="1374"/>
        <w:gridCol w:w="1381"/>
        <w:gridCol w:w="109"/>
        <w:gridCol w:w="109"/>
        <w:gridCol w:w="109"/>
        <w:gridCol w:w="524"/>
        <w:gridCol w:w="526"/>
        <w:gridCol w:w="336"/>
        <w:gridCol w:w="109"/>
        <w:gridCol w:w="109"/>
        <w:gridCol w:w="109"/>
        <w:gridCol w:w="211"/>
        <w:gridCol w:w="616"/>
        <w:gridCol w:w="109"/>
        <w:gridCol w:w="109"/>
        <w:gridCol w:w="109"/>
        <w:gridCol w:w="109"/>
        <w:gridCol w:w="330"/>
        <w:gridCol w:w="330"/>
        <w:gridCol w:w="331"/>
        <w:gridCol w:w="109"/>
        <w:gridCol w:w="109"/>
        <w:gridCol w:w="109"/>
        <w:gridCol w:w="211"/>
        <w:gridCol w:w="82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life and per share data)</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4,800,616 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(1,464,158)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as of 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3,314,228 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for the fiscal years ended January 31, 2024, 2023 and 2022. The intrinsic value of the options exercised, which represents the difference between the fair market value of our common stock on the date of exercise and the exercise price of each option, was $90.0 million, $121.5 million, and $843.0 million during the fiscal years ended January 31, 2024, 2023, and 2022, respectively. As of January 31, 2024, all options have vested and there is no unrecognized stock-based compensation expense remaining.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under our equity incentive plan and related information is as follows:</w:t>
      </w:r>
    </w:p>
    <w:tbl>
      <w:tblPr>
        <w:tblW w:w="7062" w:type="dxa"/>
        <w:jc w:val="left"/>
        <w:tblInd w:w="0" w:type="dxa"/>
        <w:tblLayout w:type="fixed"/>
        <w:tblCellMar>
          <w:top w:w="28" w:type="dxa"/>
          <w:left w:w="28" w:type="dxa"/>
          <w:bottom w:w="28" w:type="dxa"/>
          <w:right w:w="28" w:type="dxa"/>
        </w:tblCellMar>
      </w:tblPr>
      <w:tblGrid>
        <w:gridCol w:w="994"/>
        <w:gridCol w:w="874"/>
        <w:gridCol w:w="877"/>
        <w:gridCol w:w="576"/>
        <w:gridCol w:w="579"/>
        <w:gridCol w:w="256"/>
        <w:gridCol w:w="109"/>
        <w:gridCol w:w="109"/>
        <w:gridCol w:w="109"/>
        <w:gridCol w:w="500"/>
        <w:gridCol w:w="1712"/>
        <w:gridCol w:w="3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Unvested</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January 31, 2023</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21,868,533 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(11,349,453)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January 31, 2024</w:t>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26,040,557 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we added a feature that modified certain existing RSU awards to provide for a supplemental award based on certain future stock price criteria. The feature was subsequently modified in March and October 2022 to provide potential additional supplemental awards. The features and resulting modifications resulted in incremental stock-based compensation expense that is being recognized from the respective modification dates through the remaining requisite service period for each of the original awards. In November 2022, we cancelled one of the features related to a sub-population of the modified awards. As a result, the amount of the unrecognized compensation cost as calculated using a Monte Carlo valuation approach related to the cancelled awards of $207.7 million was recognized during the fiscal year ended January 31,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unrecognized stock-based compensation expense related to outstanding unvested RSUs was $1,782.2 million, including the impact of the modification, which is expected to be recognized over a weighted-average period of 2.5 years.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2019 Employee Stock Purchase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2024, 2023, and 2022, 921,892, 678,279, and 838,395 shares, respectively, of our Class A common stock were purchased under the ESPP.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unrecognized stock-based compensation expense related to the ESPP was $38.6 million, which is expected to be recognized over a weighted-average period of 1.1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estimated the fair value of ESPP purchase rights using a Black-Scholes option-pricing model with the following assumptions:</w:t>
      </w:r>
    </w:p>
    <w:tbl>
      <w:tblPr>
        <w:tblW w:w="6838" w:type="dxa"/>
        <w:jc w:val="left"/>
        <w:tblInd w:w="0" w:type="dxa"/>
        <w:tblLayout w:type="fixed"/>
        <w:tblCellMar>
          <w:top w:w="28" w:type="dxa"/>
          <w:left w:w="28" w:type="dxa"/>
          <w:bottom w:w="28" w:type="dxa"/>
          <w:right w:w="28" w:type="dxa"/>
        </w:tblCellMar>
      </w:tblPr>
      <w:tblGrid>
        <w:gridCol w:w="771"/>
        <w:gridCol w:w="678"/>
        <w:gridCol w:w="680"/>
        <w:gridCol w:w="434"/>
        <w:gridCol w:w="434"/>
        <w:gridCol w:w="437"/>
        <w:gridCol w:w="125"/>
        <w:gridCol w:w="125"/>
        <w:gridCol w:w="125"/>
        <w:gridCol w:w="434"/>
        <w:gridCol w:w="434"/>
        <w:gridCol w:w="437"/>
        <w:gridCol w:w="125"/>
        <w:gridCol w:w="125"/>
        <w:gridCol w:w="125"/>
        <w:gridCol w:w="393"/>
        <w:gridCol w:w="393"/>
        <w:gridCol w:w="56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0.5 - 2.0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0.5 - 2.0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0.5 - 2.1</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 - 57.6%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57.6% - 64.6%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40.3% - 75.0%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 - 5.4%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 - 4.8%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 - 2.5%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by line item in the accompanying consolidated statements of operations is summarized as follows:</w:t>
      </w:r>
    </w:p>
    <w:tbl>
      <w:tblPr>
        <w:tblW w:w="10077" w:type="dxa"/>
        <w:jc w:val="left"/>
        <w:tblInd w:w="0" w:type="dxa"/>
        <w:tblLayout w:type="fixed"/>
        <w:tblCellMar>
          <w:top w:w="28" w:type="dxa"/>
          <w:left w:w="28" w:type="dxa"/>
          <w:bottom w:w="28" w:type="dxa"/>
          <w:right w:w="28" w:type="dxa"/>
        </w:tblCellMar>
      </w:tblPr>
      <w:tblGrid>
        <w:gridCol w:w="1935"/>
        <w:gridCol w:w="1706"/>
        <w:gridCol w:w="1713"/>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recorded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Restructuring Activities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we announced a restructuring plan (the “Plan”) intended to reduce operating costs and continue advancing our ongoing commitment to profitable growth. The Plan included a reduction of our then-current workforce by approximately 15%.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execution of the Plan was completed as of July 31, 2023. For the year ended January 31, 2024, we recorded net restructuring costs of $73.0 million, which consisted of $54.4 million related to employee transition, severance payments, and employee benefits; $17.3 million related to stock-based compensation awards; and $1.3 million for other related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expenses that were recorded as an operating expense in the consolidated statement of operations for the year ended January 31, 2024:</w:t>
      </w:r>
    </w:p>
    <w:tbl>
      <w:tblPr>
        <w:tblW w:w="5190" w:type="dxa"/>
        <w:jc w:val="left"/>
        <w:tblInd w:w="0" w:type="dxa"/>
        <w:tblLayout w:type="fixed"/>
        <w:tblCellMar>
          <w:top w:w="28" w:type="dxa"/>
          <w:left w:w="28" w:type="dxa"/>
          <w:bottom w:w="28" w:type="dxa"/>
          <w:right w:w="28" w:type="dxa"/>
        </w:tblCellMar>
      </w:tblPr>
      <w:tblGrid>
        <w:gridCol w:w="873"/>
        <w:gridCol w:w="769"/>
        <w:gridCol w:w="772"/>
        <w:gridCol w:w="109"/>
        <w:gridCol w:w="109"/>
        <w:gridCol w:w="465"/>
        <w:gridCol w:w="1590"/>
        <w:gridCol w:w="240"/>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January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restructuring liability that is included in accrued expenses and other current liabilities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6683" w:type="dxa"/>
        <w:jc w:val="left"/>
        <w:tblInd w:w="0" w:type="dxa"/>
        <w:tblLayout w:type="fixed"/>
        <w:tblCellMar>
          <w:top w:w="28" w:type="dxa"/>
          <w:left w:w="28" w:type="dxa"/>
          <w:bottom w:w="28" w:type="dxa"/>
          <w:right w:w="28" w:type="dxa"/>
        </w:tblCellMar>
      </w:tblPr>
      <w:tblGrid>
        <w:gridCol w:w="956"/>
        <w:gridCol w:w="838"/>
        <w:gridCol w:w="845"/>
        <w:gridCol w:w="771"/>
        <w:gridCol w:w="1484"/>
        <w:gridCol w:w="400"/>
        <w:gridCol w:w="109"/>
        <w:gridCol w:w="109"/>
        <w:gridCol w:w="109"/>
        <w:gridCol w:w="235"/>
        <w:gridCol w:w="455"/>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2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(54,361)</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income before the provision for (benefit from) income taxes were as follows:</w:t>
      </w:r>
    </w:p>
    <w:tbl>
      <w:tblPr>
        <w:tblW w:w="5500"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was as follows:</w:t>
      </w:r>
    </w:p>
    <w:tbl>
      <w:tblPr>
        <w:tblW w:w="8453" w:type="dxa"/>
        <w:jc w:val="left"/>
        <w:tblInd w:w="0" w:type="dxa"/>
        <w:tblLayout w:type="fixed"/>
        <w:tblCellMar>
          <w:top w:w="28" w:type="dxa"/>
          <w:left w:w="28" w:type="dxa"/>
          <w:bottom w:w="28" w:type="dxa"/>
          <w:right w:w="28" w:type="dxa"/>
        </w:tblCellMar>
      </w:tblPr>
      <w:tblGrid>
        <w:gridCol w:w="1413"/>
        <w:gridCol w:w="1246"/>
        <w:gridCol w:w="1255"/>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(376,061)</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differs from the amount computed by applying the statutory federal tax rate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8849" w:type="dxa"/>
        <w:jc w:val="left"/>
        <w:tblInd w:w="0" w:type="dxa"/>
        <w:tblLayout w:type="fixed"/>
        <w:tblCellMar>
          <w:top w:w="28" w:type="dxa"/>
          <w:left w:w="28" w:type="dxa"/>
          <w:bottom w:w="28" w:type="dxa"/>
          <w:right w:w="28" w:type="dxa"/>
        </w:tblCellMar>
      </w:tblPr>
      <w:tblGrid>
        <w:gridCol w:w="1383"/>
        <w:gridCol w:w="1218"/>
        <w:gridCol w:w="1223"/>
        <w:gridCol w:w="109"/>
        <w:gridCol w:w="109"/>
        <w:gridCol w:w="109"/>
        <w:gridCol w:w="211"/>
        <w:gridCol w:w="826"/>
        <w:gridCol w:w="271"/>
        <w:gridCol w:w="109"/>
        <w:gridCol w:w="109"/>
        <w:gridCol w:w="109"/>
        <w:gridCol w:w="211"/>
        <w:gridCol w:w="826"/>
        <w:gridCol w:w="271"/>
        <w:gridCol w:w="109"/>
        <w:gridCol w:w="109"/>
        <w:gridCol w:w="109"/>
        <w:gridCol w:w="211"/>
        <w:gridCol w:w="901"/>
        <w:gridCol w:w="316"/>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federal statutory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Foreign-derived intangible income deduction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uncertainties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rate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(274,007)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result from differences in the recognition of amounts for tax and financial reporting purposes, as well as operating loss and tax credit carryforwards. Significant components of our deferred income tax assets as of January 31, 2024 and 2023 are as follows:</w:t>
      </w:r>
    </w:p>
    <w:tbl>
      <w:tblPr>
        <w:tblW w:w="7265" w:type="dxa"/>
        <w:jc w:val="left"/>
        <w:tblInd w:w="0" w:type="dxa"/>
        <w:tblLayout w:type="fixed"/>
        <w:tblCellMar>
          <w:top w:w="28" w:type="dxa"/>
          <w:left w:w="28" w:type="dxa"/>
          <w:bottom w:w="28" w:type="dxa"/>
          <w:right w:w="28" w:type="dxa"/>
        </w:tblCellMar>
      </w:tblPr>
      <w:tblGrid>
        <w:gridCol w:w="1550"/>
        <w:gridCol w:w="1359"/>
        <w:gridCol w:w="1365"/>
        <w:gridCol w:w="109"/>
        <w:gridCol w:w="109"/>
        <w:gridCol w:w="109"/>
        <w:gridCol w:w="211"/>
        <w:gridCol w:w="826"/>
        <w:gridCol w:w="109"/>
        <w:gridCol w:w="109"/>
        <w:gridCol w:w="109"/>
        <w:gridCol w:w="109"/>
        <w:gridCol w:w="211"/>
        <w:gridCol w:w="82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557,116 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realization of tax benefits of net deferred tax assets is dependent upon future levels of taxable income, of an appropriate character, in the periods the items are expected to be deductible or taxable. As of January 31, 2024, management concluded that the valuation allowance related to the U.K. net deferred tax assets was no longer needed primarily due to its assessment of income/loss in recent periods and the forecast of future taxable income. Based on evaluation of all positive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negative evidence, management believes it is more likely than not that the net deferred tax assets will be realized for U.K. purposes. Accordingly, management has recognized a non-recurring tax benefit of $10.7 million related to the valuation allowance release. Based on the available objective evidence during the year ended January 31, 2024, we believe that it is more likely than not that the tax benefits relating to U.S. losses that are capital in nature and certain state and other foreign deferred tax assets may not be realized prior to expiration. Accordingly, we have maintained a valuation allowance against these deferred tax assets and intend to maintain the applicable valuation allowance until sufficient positive evidence exists to support a reversal of, or decrease in, the valuation allowance.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net operating loss carryforwards of approximately $12.3 million for federal income tax purposes, $14.2 million for state income tax purposes, which will begin to expire in the year 2033 if unused. We also had certain foreign net operating loss carryforwards of $35.6 million, which have an indefinite life.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also had research and development credit carryforwards of approximately $1.2 million for federal income tax purposes and $31.9 million for state income tax purposes. The federal research and development tax credits have a twenty-year carryover period while the state research and development tax credits carry forward indefinitely.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and state net operating loss carryforwards may be subject to significant limitations under Section 382 and Section 383 of the Internal Revenue Code of 1986 and similar provisions under state law. Such provisions limit the net operating loss carryforwards that may be used in any given year in the event of special occurrences, including significant ownership changes. We have completed a Section 382 review and determined that materially none of our operating losses will expire solely due to Section 382 limitation(s).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 of total unrecognized tax benefits is as follows:</w:t>
      </w:r>
    </w:p>
    <w:tbl>
      <w:tblPr>
        <w:tblW w:w="6942" w:type="dxa"/>
        <w:jc w:val="left"/>
        <w:tblInd w:w="0" w:type="dxa"/>
        <w:tblLayout w:type="fixed"/>
        <w:tblCellMar>
          <w:top w:w="28" w:type="dxa"/>
          <w:left w:w="28" w:type="dxa"/>
          <w:bottom w:w="28" w:type="dxa"/>
          <w:right w:w="28" w:type="dxa"/>
        </w:tblCellMar>
      </w:tblPr>
      <w:tblGrid>
        <w:gridCol w:w="1129"/>
        <w:gridCol w:w="994"/>
        <w:gridCol w:w="997"/>
        <w:gridCol w:w="211"/>
        <w:gridCol w:w="721"/>
        <w:gridCol w:w="109"/>
        <w:gridCol w:w="109"/>
        <w:gridCol w:w="109"/>
        <w:gridCol w:w="109"/>
        <w:gridCol w:w="211"/>
        <w:gridCol w:w="721"/>
        <w:gridCol w:w="109"/>
        <w:gridCol w:w="109"/>
        <w:gridCol w:w="109"/>
        <w:gridCol w:w="10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Tax Benefits (in thousands)</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taken in prior year: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Positions taken in current year: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gross unrecognized tax benefits related to uncertain tax positions were $41.8 million ($46.5 million total, including $4.7 million associated with interest and penalties). As of January 31, 2023, gross unrecognized tax benefits related to uncertain tax positions were $30.4 million ($32.5 million total, including $1.6 million associated with interest and penalties). As of January 31, 2022, gross unrecognized tax benefits related to uncertain tax positions were $19.2 million ($19.6 million total, including $0.4 million associated with interest and penalties). We recognized approximately $4.7 million, $1.6 million, and $0.4 million in potential interest and penalties associated with uncertain tax positions during fiscal years ended January 31, 2024, 2023, and 2022,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the U.S. federal jurisdiction, various state jurisdictions, and various foreign jurisdictions. As of January 31, 2024, all of the years remain open to examination by the federal and state tax authorities, for three or four years from the tax year in which net operating losses or tax credits are utilized.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Net Income Per Share Attributable to Common Stockholders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share attributable to common stockholders for the periods presented:</w:t>
      </w:r>
    </w:p>
    <w:tbl>
      <w:tblPr>
        <w:tblW w:w="50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011" w:type="dxa"/>
        <w:jc w:val="left"/>
        <w:tblInd w:w="0" w:type="dxa"/>
        <w:tblLayout w:type="fixed"/>
        <w:tblCellMar>
          <w:top w:w="28" w:type="dxa"/>
          <w:left w:w="28" w:type="dxa"/>
          <w:bottom w:w="28" w:type="dxa"/>
          <w:right w:w="28" w:type="dxa"/>
        </w:tblCellMar>
      </w:tblPr>
      <w:tblGrid>
        <w:gridCol w:w="773"/>
        <w:gridCol w:w="311"/>
        <w:gridCol w:w="312"/>
        <w:gridCol w:w="109"/>
        <w:gridCol w:w="109"/>
        <w:gridCol w:w="109"/>
        <w:gridCol w:w="109"/>
        <w:gridCol w:w="155"/>
        <w:gridCol w:w="155"/>
        <w:gridCol w:w="156"/>
        <w:gridCol w:w="109"/>
        <w:gridCol w:w="109"/>
        <w:gridCol w:w="109"/>
        <w:gridCol w:w="221"/>
        <w:gridCol w:w="830"/>
        <w:gridCol w:w="109"/>
        <w:gridCol w:w="109"/>
        <w:gridCol w:w="109"/>
        <w:gridCol w:w="109"/>
        <w:gridCol w:w="202"/>
        <w:gridCol w:w="759"/>
        <w:gridCol w:w="109"/>
        <w:gridCol w:w="109"/>
        <w:gridCol w:w="109"/>
        <w:gridCol w:w="109"/>
        <w:gridCol w:w="244"/>
        <w:gridCol w:w="807"/>
        <w:gridCol w:w="109"/>
        <w:gridCol w:w="109"/>
        <w:gridCol w:w="109"/>
        <w:gridCol w:w="109"/>
        <w:gridCol w:w="223"/>
        <w:gridCol w:w="738"/>
        <w:gridCol w:w="109"/>
        <w:gridCol w:w="109"/>
        <w:gridCol w:w="109"/>
        <w:gridCol w:w="109"/>
        <w:gridCol w:w="196"/>
        <w:gridCol w:w="871"/>
        <w:gridCol w:w="109"/>
        <w:gridCol w:w="109"/>
        <w:gridCol w:w="109"/>
        <w:gridCol w:w="109"/>
        <w:gridCol w:w="202"/>
        <w:gridCol w:w="759"/>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4342" w:type="dxa"/>
            <w:gridSpan w:val="18"/>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945" w:type="dxa"/>
            <w:gridSpan w:val="12"/>
            <w:tcBorders/>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71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attributable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254,084,540 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249,494,904 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238,214,936 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58,119,958 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income per share attributable to common stockholders,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258,398,674 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252,413,234 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240,531,470 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attributable to common stockholders,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income per share attributable to common stockholders for the periods presented because including them would have been anti-dilutive are as follows:</w:t>
      </w:r>
    </w:p>
    <w:tbl>
      <w:tblPr>
        <w:tblW w:w="10205" w:type="dxa"/>
        <w:jc w:val="left"/>
        <w:tblInd w:w="0" w:type="dxa"/>
        <w:tblLayout w:type="fixed"/>
        <w:tblCellMar>
          <w:top w:w="28" w:type="dxa"/>
          <w:left w:w="28" w:type="dxa"/>
          <w:bottom w:w="28" w:type="dxa"/>
          <w:right w:w="28" w:type="dxa"/>
        </w:tblCellMar>
      </w:tblPr>
      <w:tblGrid>
        <w:gridCol w:w="769"/>
        <w:gridCol w:w="675"/>
        <w:gridCol w:w="679"/>
        <w:gridCol w:w="109"/>
        <w:gridCol w:w="109"/>
        <w:gridCol w:w="109"/>
        <w:gridCol w:w="109"/>
        <w:gridCol w:w="155"/>
        <w:gridCol w:w="155"/>
        <w:gridCol w:w="156"/>
        <w:gridCol w:w="109"/>
        <w:gridCol w:w="109"/>
        <w:gridCol w:w="109"/>
        <w:gridCol w:w="479"/>
        <w:gridCol w:w="482"/>
        <w:gridCol w:w="189"/>
        <w:gridCol w:w="109"/>
        <w:gridCol w:w="109"/>
        <w:gridCol w:w="109"/>
        <w:gridCol w:w="209"/>
        <w:gridCol w:w="203"/>
        <w:gridCol w:w="187"/>
        <w:gridCol w:w="109"/>
        <w:gridCol w:w="109"/>
        <w:gridCol w:w="109"/>
        <w:gridCol w:w="479"/>
        <w:gridCol w:w="482"/>
        <w:gridCol w:w="189"/>
        <w:gridCol w:w="109"/>
        <w:gridCol w:w="109"/>
        <w:gridCol w:w="109"/>
        <w:gridCol w:w="209"/>
        <w:gridCol w:w="203"/>
        <w:gridCol w:w="187"/>
        <w:gridCol w:w="109"/>
        <w:gridCol w:w="109"/>
        <w:gridCol w:w="109"/>
        <w:gridCol w:w="459"/>
        <w:gridCol w:w="412"/>
        <w:gridCol w:w="189"/>
        <w:gridCol w:w="109"/>
        <w:gridCol w:w="109"/>
        <w:gridCol w:w="109"/>
        <w:gridCol w:w="203"/>
        <w:gridCol w:w="203"/>
        <w:gridCol w:w="254"/>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January 31,</w:t>
            </w:r>
          </w:p>
        </w:tc>
        <w:tc>
          <w:tcPr>
            <w:tcW w:w="3300" w:type="dxa"/>
            <w:gridSpan w:val="18"/>
            <w:tcBorders/>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374" w:type="dxa"/>
            <w:gridSpan w:val="12"/>
            <w:tcBorders/>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r>
      <w:tr>
        <w:trPr/>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109,441 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88,019 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9,124,205 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9,228,633 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rights committed under the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1,789,166 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1,674,853 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11,022,812 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10,991,505 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1,256,967 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January 31, 2024, 2023, and 2022, the table above does not include 405,156 of issued Class A common stock held by us that are reserved for the sole purpose of being transferred to nonprofit organizations.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subsequent events from the balance sheet date through March 1, 2024, the date at which the consolidated financial statements were available to be issued. </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authorized a stock repurchase program of up to $1.5 billion of our Class A common stock.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 As of March 1, 2024, there have been no repurchases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2024 to provide reasonable assurance regarding the reliability of financial reporting and the preparation of financial statements in accordance with U.S. GAAP.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January 31, 2024 has been audited by KPMG LLP, an independent registered public accounting firm, as stated in their report, which is included in Item 8 of this Annual Report on Form 10-K.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no change in our internal control over financial reporting (as defined in Rules 13a-15(d) and 15d-15(d) under the Exchange Act) that occurred during the quarter ended January 31, 2024 that has materially affected, or is reasonably likely to materially affect, our internal control over financial reporting.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56"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Trading Arrangements</w:t>
      </w:r>
    </w:p>
    <w:p>
      <w:pPr>
        <w:pStyle w:val="TextBody"/>
        <w:bidi w:val="0"/>
        <w:spacing w:lineRule="auto" w:line="25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5"/>
        <w:gridCol w:w="619"/>
        <w:gridCol w:w="621"/>
        <w:gridCol w:w="313"/>
        <w:gridCol w:w="313"/>
        <w:gridCol w:w="317"/>
        <w:gridCol w:w="484"/>
        <w:gridCol w:w="484"/>
        <w:gridCol w:w="486"/>
        <w:gridCol w:w="315"/>
        <w:gridCol w:w="315"/>
        <w:gridCol w:w="315"/>
        <w:gridCol w:w="315"/>
        <w:gridCol w:w="315"/>
        <w:gridCol w:w="321"/>
        <w:gridCol w:w="806"/>
        <w:gridCol w:w="806"/>
        <w:gridCol w:w="809"/>
        <w:gridCol w:w="387"/>
        <w:gridCol w:w="387"/>
        <w:gridCol w:w="562"/>
      </w:tblGrid>
      <w:tr>
        <w:trPr/>
        <w:tc>
          <w:tcPr>
            <w:tcW w:w="9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24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9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Adoption/ Termination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9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2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Shares of Class A Common Stock to be Sold***</w:t>
            </w:r>
          </w:p>
        </w:tc>
        <w:tc>
          <w:tcPr>
            <w:tcW w:w="13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21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 Chief Financial Officer</w:t>
            </w:r>
          </w:p>
        </w:tc>
        <w:tc>
          <w:tcPr>
            <w:tcW w:w="9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11/24/2023</w:t>
            </w:r>
          </w:p>
        </w:tc>
        <w:tc>
          <w:tcPr>
            <w:tcW w:w="9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9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241,100</w:t>
            </w:r>
          </w:p>
        </w:tc>
        <w:tc>
          <w:tcPr>
            <w:tcW w:w="13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03/05/2025</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Contract, instruction or written plan intended to satisfy the affirmative defense conditions of Rule 10b5-1(c)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“Non-Rule 10b5-1 trading arrangement” as defined in Item 408(c) of Regulation S-K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Represents the maximum number of shares that may be sold pursuant to the 10b5-1 arrangement. The actual number of shares sold will be dependent on the satisfaction of certain conditions as set forth in the written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information required by this item is incorporated by reference to the definitive Proxy Statement for our 2024 Annual Meeting of Stockholders, which will be filed with the SEC no later than 120 days after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January 31, 2024.</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a part of this Annual Report on Form 10-K: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(1) Consolidated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 on Form 10-K.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 II: Valuation and Qualifying Accounts is filed as part of this Annual Report on Form 10-K and should be read in conjunction with the Consolidated Financial Statements and Notes thereto.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 information required to be set forth therein is not applicable or is shown in the financial statements or notes herein.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following Exhibit Index of this Annual Report on Form 10-K are incorporated by reference or are filed with this Annual Report on Form 10-K, in each case as indicated therein (numbered in accordance with Item 601 of Regulation S-K).</w:t>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39"/>
        <w:gridCol w:w="1639"/>
        <w:gridCol w:w="1533"/>
        <w:gridCol w:w="109"/>
        <w:gridCol w:w="109"/>
        <w:gridCol w:w="109"/>
        <w:gridCol w:w="170"/>
        <w:gridCol w:w="170"/>
        <w:gridCol w:w="171"/>
        <w:gridCol w:w="109"/>
        <w:gridCol w:w="109"/>
        <w:gridCol w:w="109"/>
        <w:gridCol w:w="305"/>
        <w:gridCol w:w="262"/>
        <w:gridCol w:w="201"/>
        <w:gridCol w:w="109"/>
        <w:gridCol w:w="109"/>
        <w:gridCol w:w="109"/>
        <w:gridCol w:w="210"/>
        <w:gridCol w:w="210"/>
        <w:gridCol w:w="211"/>
        <w:gridCol w:w="109"/>
        <w:gridCol w:w="109"/>
        <w:gridCol w:w="109"/>
        <w:gridCol w:w="404"/>
        <w:gridCol w:w="344"/>
        <w:gridCol w:w="39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6"/>
                  <w:u w:val="single"/>
                </w:rPr>
                <w:t>Amended and Restated Certificate of Incorporation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23,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6"/>
                  <w:u w:val="single"/>
                </w:rPr>
                <w:t>Amended and Restated Bylaws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March 3,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6"/>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8,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6"/>
                  <w:u w:val="single"/>
                </w:rPr>
                <w:t>Third Amended and Restated Investors’ Rights Agreement by and among the Registrant and certain of its stockholders, dated December 1,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3_securitiesfrompy.htm">
              <w:r>
                <w:rPr>
                  <w:rStyle w:val="InternetLink"/>
                  <w:rFonts w:ascii="Times New Roman;sans-serif" w:hAnsi="Times New Roman;sans-serif"/>
                  <w:b w:val="false"/>
                  <w:color w:val="0000FF"/>
                  <w:sz w:val="16"/>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6"/>
                  <w:u w:val="single"/>
                </w:rPr>
                <w:t>Zoom Video Communications, Inc. Fourth Amended and Restated 2011 Global Share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6"/>
                  <w:u w:val="single"/>
                </w:rPr>
                <w:t>Zoom Video Communications, Inc. 2019 Equity Incentive Plan, as amended,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November 23, 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6"/>
                  <w:u w:val="single"/>
                </w:rPr>
                <w:t>Zoom Video Communications, Inc. 2019 Equity Incentive Plan Non-Employee Director Global Restricted Stock Unit Award Grant Notice,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3,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6"/>
                  <w:u w:val="single"/>
                </w:rPr>
                <w:t>Zoom Video Communications, Inc. 2019 Equity Incentive Plan Global Restricted Stock Unit Award Grant Notice for Executive Officers,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December 4,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6"/>
                  <w:u w:val="single"/>
                </w:rPr>
                <w:t>Zoom Video Communications, Inc. 2019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8,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6"/>
                  <w:u w:val="single"/>
                </w:rPr>
                <w:t>Form of Indemnification Agreement entered into by and between the Registrant and each director and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6"/>
                  <w:u w:val="single"/>
                </w:rPr>
                <w:t>Zoom Video Communications, Inc. Non-Employee Director Compensation Policy,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March 3,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6"/>
                  <w:u w:val="single"/>
                </w:rPr>
                <w:t>Zoom Video Communications, Inc. 2019 Equity Incentive Plan Global RSU Award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13,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6"/>
                  <w:u w:val="single"/>
                </w:rPr>
                <w:t>Zoom Video Communications, Inc. 2019 Equity Incentive Plan Non-Employee Director Global RSU Award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13,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6"/>
                  <w:u w:val="single"/>
                </w:rPr>
                <w:t>Confirmatory Offer Letter by and between the Registrant and Eric S. Yuan, dated December 18,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6"/>
                  <w:u w:val="single"/>
                </w:rPr>
                <w:t>Confirmatory Offer Letter by and between the Registrant and Aparna Bawa, dated December 18,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6"/>
                  <w:u w:val="single"/>
                </w:rPr>
                <w:t>Confirmatory Offer Letter by and between the Registrant and Kelly Steckelberg, dated December 18,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6"/>
                  <w:u w:val="single"/>
                </w:rPr>
                <w:t>Offer Letter by and between the Registrant and Velchamy Sankarlingam dated May 19,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3,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20"/>
        <w:gridCol w:w="193"/>
        <w:gridCol w:w="195"/>
        <w:gridCol w:w="109"/>
        <w:gridCol w:w="109"/>
        <w:gridCol w:w="109"/>
        <w:gridCol w:w="1947"/>
        <w:gridCol w:w="1605"/>
        <w:gridCol w:w="1612"/>
        <w:gridCol w:w="109"/>
        <w:gridCol w:w="109"/>
        <w:gridCol w:w="109"/>
        <w:gridCol w:w="133"/>
        <w:gridCol w:w="133"/>
        <w:gridCol w:w="135"/>
        <w:gridCol w:w="109"/>
        <w:gridCol w:w="109"/>
        <w:gridCol w:w="109"/>
        <w:gridCol w:w="292"/>
        <w:gridCol w:w="233"/>
        <w:gridCol w:w="234"/>
        <w:gridCol w:w="109"/>
        <w:gridCol w:w="109"/>
        <w:gridCol w:w="109"/>
        <w:gridCol w:w="169"/>
        <w:gridCol w:w="169"/>
        <w:gridCol w:w="173"/>
        <w:gridCol w:w="109"/>
        <w:gridCol w:w="109"/>
        <w:gridCol w:w="109"/>
        <w:gridCol w:w="410"/>
        <w:gridCol w:w="310"/>
        <w:gridCol w:w="407"/>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6"/>
                  <w:u w:val="single"/>
                </w:rPr>
                <w:t>Offer Letter by and between the Registrant and Greg Tomb, dated May 31,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24,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6"/>
                  <w:u w:val="single"/>
                </w:rPr>
                <w:t>Director Offer Letter by and between the Registrant and Lieut. General H.R. McMaster dated May 6,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3, 2020</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6"/>
                  <w:u w:val="single"/>
                </w:rPr>
                <w:t>Director Offer Letter by and between the Registrant and Janet Napolitano dated November 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001-38865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18, 2021</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6"/>
                  <w:u w:val="single"/>
                </w:rPr>
                <w:t>Director Offer Letter by and between the Registrant and William R. McDermott dated February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25,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6"/>
                  <w:u w:val="single"/>
                </w:rPr>
                <w:t>Director Offer Letter by and between the Registrant and Cindy Hoots dated January 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March 3, 2023</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6"/>
                  <w:u w:val="single"/>
                </w:rPr>
                <w:t>Lease Agreement dated August 1, 2016, as amended, by and between the Registrant and KBSIII Almaden Financial Plaza,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22,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6"/>
                  <w:u w:val="single"/>
                </w:rPr>
                <w:t>Fourth Amendment to Lease Agreement by and between the Registrant and KBSIII Almaden Financial Plaza,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September 13,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6"/>
                  <w:u w:val="single"/>
                </w:rPr>
                <w:t>Fifth Amendment to Lease Agreement by and between Zoom Video Communications, Inc. and KBSIII Almaden Financial Plaza, LLC dated March 9,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5, 2020</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6"/>
                  <w:u w:val="single"/>
                </w:rPr>
                <w:t>Zoom Video Communications, Inc. Officer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7,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6"/>
                  <w:u w:val="single"/>
                </w:rPr>
                <w:t>Common Stock Purchase Agreement by and among the Registrant, salesforce.com, inc. and Salesforce Ventures LLC, dated as of April 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333-230444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8,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6"/>
                  <w:u w:val="single"/>
                </w:rPr>
                <w:t>Zoom Video Communications, Inc. Severance and Change in Control Plan and form of Participation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August 24,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stofsubsidiaries_2024.htm">
              <w:r>
                <w:rPr>
                  <w:rStyle w:val="InternetLink"/>
                  <w:rFonts w:ascii="Times New Roman;sans-serif" w:hAnsi="Times New Roman;sans-serif"/>
                  <w:b w:val="false"/>
                  <w:color w:val="0000FF"/>
                  <w:sz w:val="16"/>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kconsent2024.htm">
              <w:r>
                <w:rPr>
                  <w:rStyle w:val="InternetLink"/>
                  <w:rFonts w:ascii="Times New Roman;sans-serif" w:hAnsi="Times New Roman;sans-serif"/>
                  <w:b w:val="false"/>
                  <w:color w:val="0000FF"/>
                  <w:sz w:val="16"/>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5afef249804d8da0e74b876c5e7a95_202">
              <w:r>
                <w:rPr>
                  <w:rStyle w:val="InternetLink"/>
                  <w:rFonts w:ascii="Times New Roman;sans-serif" w:hAnsi="Times New Roman;sans-serif"/>
                  <w:b w:val="false"/>
                  <w:color w:val="0000FF"/>
                  <w:sz w:val="16"/>
                  <w:u w:val="single"/>
                </w:rPr>
                <w:t>Power of Attorney (reference is made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40131xex311.htm">
              <w:r>
                <w:rPr>
                  <w:rStyle w:val="InternetLink"/>
                  <w:rFonts w:ascii="Times New Roman;sans-serif" w:hAnsi="Times New Roman;sans-serif"/>
                  <w:b w:val="false"/>
                  <w:color w:val="0000FF"/>
                  <w:sz w:val="16"/>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40131xex312.htm">
              <w:r>
                <w:rPr>
                  <w:rStyle w:val="InternetLink"/>
                  <w:rFonts w:ascii="Times New Roman;sans-serif" w:hAnsi="Times New Roman;sans-serif"/>
                  <w:b w:val="false"/>
                  <w:color w:val="0000FF"/>
                  <w:sz w:val="16"/>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40131xex321.htm">
              <w:r>
                <w:rPr>
                  <w:rStyle w:val="InternetLink"/>
                  <w:rFonts w:ascii="Times New Roman;sans-serif" w:hAnsi="Times New Roman;sans-serif"/>
                  <w:b w:val="false"/>
                  <w:color w:val="0000FF"/>
                  <w:sz w:val="16"/>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awbackpolicy.htm">
              <w:r>
                <w:rPr>
                  <w:rStyle w:val="InternetLink"/>
                  <w:rFonts w:ascii="Times New Roman;sans-serif" w:hAnsi="Times New Roman;sans-serif"/>
                  <w:b w:val="false"/>
                  <w:color w:val="000080"/>
                  <w:sz w:val="16"/>
                  <w:u w:val="single"/>
                </w:rPr>
                <w:t>Z</w:t>
              </w:r>
            </w:hyperlink>
            <w:hyperlink w:anchor="clawbackpolicy.htm">
              <w:r>
                <w:rPr>
                  <w:rStyle w:val="InternetLink"/>
                  <w:rFonts w:ascii="Times New Roman;sans-serif" w:hAnsi="Times New Roman;sans-serif"/>
                  <w:b w:val="false"/>
                  <w:color w:val="000080"/>
                  <w:sz w:val="16"/>
                  <w:u w:val="single"/>
                </w:rPr>
                <w:t>oom Video Communications, Inc</w:t>
              </w:r>
            </w:hyperlink>
            <w:hyperlink w:anchor="clawbackpolicy.htm">
              <w:r>
                <w:rPr>
                  <w:rStyle w:val="InternetLink"/>
                  <w:rFonts w:ascii="Times New Roman;sans-serif" w:hAnsi="Times New Roman;sans-serif"/>
                  <w:b w:val="false"/>
                  <w:color w:val="000080"/>
                  <w:sz w:val="16"/>
                  <w:u w:val="single"/>
                </w:rPr>
                <w:t xml:space="preserve">. </w:t>
              </w:r>
            </w:hyperlink>
            <w:hyperlink w:anchor="clawbackpolicy.htm">
              <w:r>
                <w:rPr>
                  <w:rStyle w:val="InternetLink"/>
                  <w:rFonts w:ascii="Times New Roman;sans-serif" w:hAnsi="Times New Roman;sans-serif"/>
                  <w:b w:val="false"/>
                  <w:color w:val="000080"/>
                  <w:sz w:val="16"/>
                  <w:u w:val="single"/>
                </w:rPr>
                <w:t xml:space="preserve">Clawback </w:t>
              </w:r>
            </w:hyperlink>
            <w:hyperlink w:anchor="clawbackpolicy.htm">
              <w:r>
                <w:rPr>
                  <w:rStyle w:val="InternetLink"/>
                  <w:rFonts w:ascii="Times New Roman;sans-serif" w:hAnsi="Times New Roman;sans-serif"/>
                  <w:b w:val="false"/>
                  <w:color w:val="000080"/>
                  <w:sz w:val="16"/>
                  <w:u w:val="single"/>
                </w:rPr>
                <w:t>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or arrangement.</w:t>
      </w:r>
    </w:p>
    <w:p>
      <w:pPr>
        <w:pStyle w:val="TextBody"/>
        <w:bidi w:val="0"/>
        <w:spacing w:lineRule="auto" w:line="288" w:before="120" w:after="283"/>
        <w:ind w:left="0" w:right="0" w:hanging="720"/>
        <w:jc w:val="both"/>
        <w:rPr>
          <w:color w:val="000000"/>
        </w:rPr>
      </w:pPr>
      <w:r>
        <w:rPr>
          <w:color w:val="000000"/>
        </w:rPr>
        <w:t>†    </w:t>
      </w:r>
      <w:r>
        <w:rPr>
          <w:rFonts w:ascii="Times New Roman;sans-serif" w:hAnsi="Times New Roman;sans-serif"/>
          <w:b w:val="false"/>
          <w:color w:val="000000"/>
          <w:sz w:val="16"/>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(b) Financial Statement Schedules</w:t>
      </w:r>
    </w:p>
    <w:p>
      <w:pPr>
        <w:pStyle w:val="TextBody"/>
        <w:bidi w:val="0"/>
        <w:spacing w:lineRule="auto" w:line="288" w:before="24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Schedule II: Valuation and Qualifying Accounts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activity of the accounts receivable allowances and deferred tax asset valuation allowance for the fiscal years ended January 31, 2024, 2023, and 2022:</w:t>
      </w:r>
    </w:p>
    <w:tbl>
      <w:tblPr>
        <w:tblW w:w="9457"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68"/>
        <w:gridCol w:w="1008"/>
        <w:gridCol w:w="149"/>
        <w:gridCol w:w="109"/>
        <w:gridCol w:w="109"/>
        <w:gridCol w:w="109"/>
        <w:gridCol w:w="196"/>
        <w:gridCol w:w="646"/>
        <w:gridCol w:w="109"/>
        <w:gridCol w:w="109"/>
        <w:gridCol w:w="109"/>
        <w:gridCol w:w="109"/>
        <w:gridCol w:w="334"/>
        <w:gridCol w:w="1385"/>
        <w:gridCol w:w="186"/>
        <w:gridCol w:w="109"/>
        <w:gridCol w:w="109"/>
        <w:gridCol w:w="109"/>
        <w:gridCol w:w="203"/>
        <w:gridCol w:w="671"/>
        <w:gridCol w:w="160"/>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Write-offs or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Balance at </w:t>
              <w:br/>
              <w:t>End of Year</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Year ended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Year ended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Year ended January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allowances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335,051 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(327,957)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4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779" w:type="dxa"/>
        <w:jc w:val="left"/>
        <w:tblInd w:w="0" w:type="dxa"/>
        <w:tblLayout w:type="fixed"/>
        <w:tblCellMar>
          <w:top w:w="28" w:type="dxa"/>
          <w:left w:w="28" w:type="dxa"/>
          <w:bottom w:w="28" w:type="dxa"/>
          <w:right w:w="28" w:type="dxa"/>
        </w:tblCellMar>
      </w:tblPr>
      <w:tblGrid>
        <w:gridCol w:w="645"/>
        <w:gridCol w:w="568"/>
        <w:gridCol w:w="571"/>
        <w:gridCol w:w="595"/>
        <w:gridCol w:w="595"/>
        <w:gridCol w:w="595"/>
        <w:gridCol w:w="937"/>
        <w:gridCol w:w="937"/>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d45afef249804d8da0e74b876c5e7a95_7">
        <w:r>
          <w:rPr>
            <w:rStyle w:val="InternetLink"/>
          </w:rPr>
          <w:t>Table</w:t>
        </w:r>
      </w:hyperlink>
      <w:hyperlink w:anchor="id45afef249804d8da0e74b876c5e7a95_7">
        <w:r>
          <w:rPr>
            <w:rStyle w:val="InternetLink"/>
          </w:rPr>
          <w:t xml:space="preserve"> of </w:t>
        </w:r>
      </w:hyperlink>
      <w:hyperlink w:anchor="id45afef249804d8da0e74b876c5e7a95_7">
        <w:r>
          <w:rPr>
            <w:rStyle w:val="InternetLink"/>
          </w:rPr>
          <w:t>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persons on behalf of the registrant and in the capacities and on the dates indicated.</w:t>
      </w:r>
    </w:p>
    <w:p>
      <w:pPr>
        <w:pStyle w:val="TextBody"/>
        <w:bidi w:val="0"/>
        <w:spacing w:before="0" w:after="0"/>
        <w:ind w:left="0" w:right="0" w:firstLine="490"/>
        <w:jc w:val="both"/>
        <w:rPr/>
      </w:pPr>
      <w:r>
        <w:rPr/>
      </w:r>
    </w:p>
    <w:tbl>
      <w:tblPr>
        <w:tblW w:w="10205" w:type="dxa"/>
        <w:jc w:val="left"/>
        <w:tblInd w:w="0" w:type="dxa"/>
        <w:tblLayout w:type="fixed"/>
        <w:tblCellMar>
          <w:top w:w="28" w:type="dxa"/>
          <w:left w:w="28" w:type="dxa"/>
          <w:bottom w:w="28" w:type="dxa"/>
          <w:right w:w="28" w:type="dxa"/>
        </w:tblCellMar>
      </w:tblPr>
      <w:tblGrid>
        <w:gridCol w:w="919"/>
        <w:gridCol w:w="794"/>
        <w:gridCol w:w="794"/>
        <w:gridCol w:w="109"/>
        <w:gridCol w:w="109"/>
        <w:gridCol w:w="109"/>
        <w:gridCol w:w="1925"/>
        <w:gridCol w:w="1912"/>
        <w:gridCol w:w="1937"/>
        <w:gridCol w:w="109"/>
        <w:gridCol w:w="109"/>
        <w:gridCol w:w="109"/>
        <w:gridCol w:w="369"/>
        <w:gridCol w:w="369"/>
        <w:gridCol w:w="532"/>
      </w:tblGrid>
      <w:tr>
        <w:trPr/>
        <w:tc>
          <w:tcPr>
            <w:tcW w:w="91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President, Chief Executive Officer and Director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Chief Financial Officer </w:t>
            </w: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Shane Crehan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Chief Accounting Officer </w:t>
            </w: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Shane Crehan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Chadwick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Chadwick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Peter Gassner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Peter Gassner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Cindy Hoots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Cindy Hoots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R. McDermott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 McDermott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Herbert Raymond McMaster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Herbert Raymond McMaster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 Scheinman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Dan Scheinman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Santiago Subotovsky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2024</w:t>
            </w:r>
          </w:p>
        </w:tc>
      </w:tr>
      <w:tr>
        <w:trPr/>
        <w:tc>
          <w:tcPr>
            <w:tcW w:w="2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Santiago Subotovsky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4.3</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REGISTERED PURSUANT TO SECTION 12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authorized capital stock consists of the following shares, all with a par value of $0.001 per share, of which:</w:t>
      </w:r>
    </w:p>
    <w:p>
      <w:pPr>
        <w:pStyle w:val="TextBody"/>
        <w:bidi w:val="0"/>
        <w:spacing w:before="0" w:after="0"/>
        <w:ind w:left="0" w:right="0" w:firstLine="490"/>
        <w:jc w:val="both"/>
        <w:rPr/>
      </w:pPr>
      <w:r>
        <w:rPr/>
      </w:r>
    </w:p>
    <w:p>
      <w:pPr>
        <w:pStyle w:val="TextBody"/>
        <w:bidi w:val="0"/>
        <w:spacing w:lineRule="auto" w:line="276" w:before="0" w:after="0"/>
        <w:jc w:val="both"/>
        <w:rPr>
          <w:color w:val="000000"/>
        </w:rPr>
      </w:pPr>
      <w:r>
        <w:rPr>
          <w:color w:val="000000"/>
        </w:rPr>
        <w:t xml:space="preserve">• </w:t>
      </w:r>
      <w:r>
        <w:rPr>
          <w:rFonts w:ascii="Times New Roman;sans-serif" w:hAnsi="Times New Roman;sans-serif"/>
          <w:b w:val="false"/>
          <w:color w:val="000000"/>
          <w:sz w:val="24"/>
        </w:rPr>
        <w:t>2,000,000,000 shares are designated as Class A common stock;</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4"/>
        </w:rPr>
        <w:t>300,000,000 shares are designated as Class B common stock;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4"/>
        </w:rPr>
        <w:t>200,000,000 shares are designated as preferred stock.</w:t>
      </w:r>
    </w:p>
    <w:p>
      <w:pPr>
        <w:pStyle w:val="TextBody"/>
        <w:bidi w:val="0"/>
        <w:spacing w:before="0" w:after="0"/>
        <w:ind w:left="0" w:right="0" w:firstLine="49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Class A and Class B Common Stock</w:t>
      </w:r>
    </w:p>
    <w:p>
      <w:pPr>
        <w:pStyle w:val="TextBody"/>
        <w:bidi w:val="0"/>
        <w:spacing w:before="0" w:after="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Voting Rights</w:t>
      </w:r>
    </w:p>
    <w:p>
      <w:pPr>
        <w:pStyle w:val="TextBody"/>
        <w:bidi w:val="0"/>
        <w:spacing w:before="0" w:after="0"/>
        <w:ind w:left="0" w:right="0" w:firstLine="490"/>
        <w:jc w:val="both"/>
        <w:rPr/>
      </w:pPr>
      <w:r>
        <w:rPr/>
      </w:r>
    </w:p>
    <w:p>
      <w:pPr>
        <w:pStyle w:val="TextBody"/>
        <w:bidi w:val="0"/>
        <w:spacing w:lineRule="auto" w:line="276"/>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Class A common stock or amend our certificate of incorporation to alter the powers, preferences or special rights of the common stock as a whole in a way that would adversely affect the holders of our Class A common stock.</w:t>
      </w:r>
    </w:p>
    <w:p>
      <w:pPr>
        <w:pStyle w:val="TextBody"/>
        <w:bidi w:val="0"/>
        <w:spacing w:before="0" w:after="0"/>
        <w:jc w:val="left"/>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does not provide for cumulative voting for the election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Dividend Rights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pStyle w:val="TextBody"/>
        <w:bidi w:val="0"/>
        <w:ind w:left="0" w:right="0" w:firstLine="49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90"/>
        <w:jc w:val="both"/>
        <w:rPr/>
      </w:pPr>
      <w:r>
        <w:rPr/>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Right to Receive Liquidation Distributions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pPr>
      <w:r>
        <w:rPr>
          <w:rFonts w:ascii="Times New Roman;sans-serif" w:hAnsi="Times New Roman;sans-serif"/>
          <w:b w:val="false"/>
          <w:color w:val="000000"/>
          <w:sz w:val="24"/>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w:t>
      </w:r>
      <w:r>
        <w:rPr>
          <w:color w:val="000000"/>
        </w:rPr>
        <w:t xml:space="preserve"> </w:t>
      </w:r>
      <w:r>
        <w:rPr>
          <w:rFonts w:ascii="Times New Roman;sans-serif" w:hAnsi="Times New Roman;sans-serif"/>
          <w:b w:val="false"/>
          <w:color w:val="000000"/>
          <w:sz w:val="24"/>
        </w:rPr>
        <w:t>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Subdivisions and Combinations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Conversion</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Other Matters</w:t>
      </w:r>
    </w:p>
    <w:p>
      <w:pPr>
        <w:pStyle w:val="TextBody"/>
        <w:bidi w:val="0"/>
        <w:spacing w:before="0" w:after="0"/>
        <w:ind w:left="0" w:right="0" w:firstLine="490"/>
        <w:jc w:val="both"/>
        <w:rPr/>
      </w:pPr>
      <w:r>
        <w:rPr/>
      </w:r>
    </w:p>
    <w:p>
      <w:pPr>
        <w:pStyle w:val="TextBody"/>
        <w:bidi w:val="0"/>
        <w:spacing w:lineRule="auto" w:line="276"/>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common stock and Class B common stock have no preemptive rights pursuant to the terms of our amended and restated certificate of incorporation and our amended and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restated bylaws. There are no redemption or sinking fund provisions applicable to the Class A common stock and Class B common stock. All outstanding shares of our Class A common stock are fully paid and non-assessable.</w:t>
      </w:r>
    </w:p>
    <w:p>
      <w:pPr>
        <w:pStyle w:val="TextBody"/>
        <w:bidi w:val="0"/>
        <w:spacing w:before="0" w:after="0"/>
        <w:ind w:left="0" w:right="0" w:firstLine="49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bidi w:val="0"/>
        <w:spacing w:before="0" w:after="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pStyle w:val="TextBody"/>
        <w:bidi w:val="0"/>
        <w:spacing w:before="0" w:after="0"/>
        <w:ind w:left="0" w:right="0" w:firstLine="49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Anti-Takeover Effects of Delaware Law and Our Certificate of Incorporation and Bylaws</w:t>
      </w:r>
    </w:p>
    <w:p>
      <w:pPr>
        <w:pStyle w:val="TextBody"/>
        <w:bidi w:val="0"/>
        <w:spacing w:before="0" w:after="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Dual Class Stock</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pStyle w:val="TextBody"/>
        <w:bidi w:val="0"/>
        <w:spacing w:before="0" w:after="0"/>
        <w:ind w:left="0" w:right="0" w:firstLine="490"/>
        <w:jc w:val="both"/>
        <w:rPr/>
      </w:pPr>
      <w:r>
        <w:rPr/>
      </w:r>
    </w:p>
    <w:p>
      <w:pPr>
        <w:pStyle w:val="TextBody"/>
        <w:bidi w:val="0"/>
        <w:spacing w:before="0" w:after="0"/>
        <w:ind w:left="0" w:right="0" w:firstLine="490"/>
        <w:jc w:val="both"/>
        <w:rPr/>
      </w:pPr>
      <w:r>
        <w:rPr/>
      </w:r>
    </w:p>
    <w:p>
      <w:pPr>
        <w:pStyle w:val="TextBody"/>
        <w:bidi w:val="0"/>
        <w:spacing w:before="0" w:after="0"/>
        <w:ind w:left="0" w:right="0" w:firstLine="490"/>
        <w:jc w:val="both"/>
        <w:rPr/>
      </w:pPr>
      <w:r>
        <w:rPr/>
      </w:r>
    </w:p>
    <w:p>
      <w:pPr>
        <w:pStyle w:val="TextBody"/>
        <w:bidi w:val="0"/>
        <w:ind w:left="0" w:right="0" w:firstLine="49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Stockholder Meetings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bylaws provide that a special meeting of stockholders may be called only by our chairperson of the board, chief executive officer, or by a resolution adopted by a majority of our board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Requirements for Advance Notification of Stockholder Nominations and Proposals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Elimination of Stockholder Action by Written Consent</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and amended and restated bylaws eliminate the right of stockholders to act by written consent without a meeting.</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Staggered Board</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Removal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that no member of our board of directors may be removed from office by our stockholders except for cause.</w:t>
      </w:r>
    </w:p>
    <w:p>
      <w:pPr>
        <w:pStyle w:val="TextBody"/>
        <w:bidi w:val="0"/>
        <w:spacing w:before="0" w:after="0"/>
        <w:jc w:val="left"/>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Stockholders Not Entitled to Cumulative Voting</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Delaware Anti-Takeover Statute</w:t>
      </w:r>
    </w:p>
    <w:p>
      <w:pPr>
        <w:pStyle w:val="TextBody"/>
        <w:bidi w:val="0"/>
        <w:spacing w:before="0" w:after="0"/>
        <w:ind w:left="0" w:right="0" w:firstLine="490"/>
        <w:jc w:val="both"/>
        <w:rPr/>
      </w:pPr>
      <w:r>
        <w:rPr/>
      </w:r>
    </w:p>
    <w:p>
      <w:pPr>
        <w:pStyle w:val="TextBody"/>
        <w:bidi w:val="0"/>
        <w:spacing w:lineRule="auto" w:line="276"/>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Choice of Forum</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i/>
          <w:color w:val="000000"/>
          <w:sz w:val="24"/>
        </w:rPr>
      </w:pPr>
      <w:r>
        <w:rPr>
          <w:rFonts w:ascii="Times New Roman;sans-serif" w:hAnsi="Times New Roman;sans-serif"/>
          <w:b/>
          <w:i/>
          <w:color w:val="000000"/>
          <w:sz w:val="24"/>
        </w:rPr>
        <w:t>Amendment of Charter Provisions</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pStyle w:val="TextBody"/>
        <w:bidi w:val="0"/>
        <w:spacing w:before="0" w:after="0"/>
        <w:ind w:left="0" w:right="0" w:firstLine="49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pStyle w:val="TextBody"/>
        <w:bidi w:val="0"/>
        <w:spacing w:before="0" w:after="0"/>
        <w:jc w:val="left"/>
        <w:rPr/>
      </w:pPr>
      <w:r>
        <w:rPr/>
      </w:r>
    </w:p>
    <w:p>
      <w:pPr>
        <w:pStyle w:val="TextBody"/>
        <w:bidi w:val="0"/>
        <w:spacing w:lineRule="auto" w:line="276"/>
        <w:jc w:val="both"/>
        <w:rPr>
          <w:rFonts w:ascii="Times New Roman;sans-serif" w:hAnsi="Times New Roman;sans-serif"/>
          <w:b/>
          <w:color w:val="000000"/>
          <w:sz w:val="24"/>
        </w:rPr>
      </w:pPr>
      <w:r>
        <w:rPr>
          <w:rFonts w:ascii="Times New Roman;sans-serif" w:hAnsi="Times New Roman;sans-serif"/>
          <w:b/>
          <w:color w:val="000000"/>
          <w:sz w:val="24"/>
        </w:rPr>
        <w:t>Transfer Agent and Registrar</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 agent and registrar for our Class A common stock and Class B common stock is Computershare Trust Company, N.A. The transfer agent and registrar’s address is 250 Royall Street, Canton, Massachusetts 02021.</w:t>
      </w:r>
    </w:p>
    <w:p>
      <w:pPr>
        <w:pStyle w:val="TextBody"/>
        <w:bidi w:val="0"/>
        <w:spacing w:before="0" w:after="0"/>
        <w:ind w:left="0" w:right="0" w:firstLine="49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Exchange Listing</w:t>
      </w:r>
    </w:p>
    <w:p>
      <w:pPr>
        <w:pStyle w:val="TextBody"/>
        <w:bidi w:val="0"/>
        <w:spacing w:before="0" w:after="0"/>
        <w:jc w:val="both"/>
        <w:rPr/>
      </w:pPr>
      <w:r>
        <w:rPr/>
      </w:r>
    </w:p>
    <w:p>
      <w:pPr>
        <w:pStyle w:val="TextBody"/>
        <w:bidi w:val="0"/>
        <w:spacing w:lineRule="auto" w:line="276" w:before="0" w:after="0"/>
        <w:ind w:left="0" w:right="0" w:firstLine="490"/>
        <w:jc w:val="both"/>
        <w:rPr>
          <w:rFonts w:ascii="Times New Roman;sans-serif" w:hAnsi="Times New Roman;sans-serif"/>
          <w:b w:val="false"/>
          <w:color w:val="000000"/>
          <w:sz w:val="24"/>
        </w:rPr>
      </w:pPr>
      <w:r>
        <w:rPr>
          <w:rFonts w:ascii="Times New Roman;sans-serif" w:hAnsi="Times New Roman;sans-serif"/>
          <w:b w:val="false"/>
          <w:color w:val="000000"/>
          <w:sz w:val="24"/>
        </w:rPr>
        <w:t>Our Class A common stock is listed on The Nasdaq Global Select Market under the symbol “ZM.”</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Calibri;sans-serif" w:hAnsi="Calibri;sans-serif"/>
          <w:b w:val="false"/>
          <w:color w:val="000000"/>
          <w:sz w:val="24"/>
        </w:rPr>
      </w:pPr>
      <w:r>
        <w:rPr>
          <w:rFonts w:ascii="Calibri;sans-serif" w:hAnsi="Calibri;sans-serif"/>
          <w:b w:val="false"/>
          <w:color w:val="000000"/>
          <w:sz w:val="24"/>
        </w:rPr>
        <w:t>Exhibit 21.1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List of subsidiaries of the Registrant</w:t>
      </w:r>
    </w:p>
    <w:tbl>
      <w:tblPr>
        <w:tblW w:w="8491" w:type="dxa"/>
        <w:jc w:val="center"/>
        <w:tblInd w:w="0" w:type="dxa"/>
        <w:tblLayout w:type="fixed"/>
        <w:tblCellMar>
          <w:top w:w="28" w:type="dxa"/>
          <w:left w:w="28" w:type="dxa"/>
          <w:bottom w:w="28" w:type="dxa"/>
          <w:right w:w="28" w:type="dxa"/>
        </w:tblCellMar>
      </w:tblPr>
      <w:tblGrid>
        <w:gridCol w:w="1801"/>
        <w:gridCol w:w="1587"/>
        <w:gridCol w:w="1591"/>
        <w:gridCol w:w="231"/>
        <w:gridCol w:w="231"/>
        <w:gridCol w:w="231"/>
        <w:gridCol w:w="825"/>
        <w:gridCol w:w="825"/>
        <w:gridCol w:w="1169"/>
      </w:tblGrid>
      <w:tr>
        <w:trPr/>
        <w:tc>
          <w:tcPr>
            <w:tcW w:w="180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Name of Subsidiary</w:t>
            </w:r>
          </w:p>
        </w:tc>
        <w:tc>
          <w:tcPr>
            <w:tcW w:w="69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4"/>
              </w:rPr>
            </w:pPr>
            <w:r>
              <w:rPr>
                <w:rFonts w:ascii="Calibri;sans-serif" w:hAnsi="Calibri;sans-serif"/>
                <w:b w:val="false"/>
                <w:color w:val="000000"/>
                <w:sz w:val="24"/>
              </w:rPr>
              <w:t>Jurisdiction of Organization</w:t>
            </w:r>
          </w:p>
        </w:tc>
      </w:tr>
      <w:tr>
        <w:trPr/>
        <w:tc>
          <w:tcPr>
            <w:tcW w:w="56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Zoom Voice Communications, Inc.</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United States of America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UK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United Kingdom</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Australia PTY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Australia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Netherlands B.V.</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Netherlands</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Japan KK</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Japan</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Zoom Video Communications (Suzhou) Inc.</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Saasbee Inc. (Hefei)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SaasBee Software (Hangzhou) Co.,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France SAS</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France</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India PVT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India</w:t>
            </w:r>
          </w:p>
        </w:tc>
      </w:tr>
      <w:tr>
        <w:trPr/>
        <w:tc>
          <w:tcPr>
            <w:tcW w:w="5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Canada LTD</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Canada</w:t>
            </w:r>
          </w:p>
        </w:tc>
      </w:tr>
      <w:tr>
        <w:trPr/>
        <w:tc>
          <w:tcPr>
            <w:tcW w:w="567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Zoom Video Communications (Hong Kong) LTD</w:t>
            </w:r>
          </w:p>
          <w:p>
            <w:pPr>
              <w:pStyle w:val="TableContents"/>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 xml:space="preserve">Zoom Video Communications (Shanghai) Co., Ltd. </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Hong Kong</w:t>
            </w:r>
          </w:p>
          <w:p>
            <w:pPr>
              <w:pStyle w:val="TableContents"/>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 xml:space="preserve">ZVC Singapore Pte. Ltd. </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Singapore</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ZVC Germany GmbH</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Germany</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Keybase LLC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United States of America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 xml:space="preserve">Zoom Video Communications (Shanghai) Co., Ltd. </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Solvvy LLC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United States of America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Zoom Software (Hangzhou) Co., Ltd.</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China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Zoom Video Communications Korea, LLC</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Korea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Zoom Arabia Communications Company</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Kingdom of Saudi Arabia</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Workvivo Ltd.</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Ireland</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Workvivo Nominee, Ltd.</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4"/>
              </w:rPr>
            </w:pPr>
            <w:r>
              <w:rPr>
                <w:rFonts w:ascii="Calibri;sans-serif" w:hAnsi="Calibri;sans-serif"/>
                <w:b w:val="false"/>
                <w:color w:val="000000"/>
                <w:sz w:val="24"/>
              </w:rPr>
              <w:t>Ireland</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4" w:after="283"/>
        <w:ind w:left="0" w:right="0" w:hanging="1"/>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333-270264, 333-263354, 333-254444, 333-237348, 333-230997) on Form S-8 and registration statement (No.333-252035) on Form-S-3 of our report dated March 1, 2024, with respect to the consolidated financial statements of Zoom Video Communications, Inc. and the effectiveness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San Francisco, California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March 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Zoom Video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779" w:type="dxa"/>
        <w:jc w:val="left"/>
        <w:tblInd w:w="0" w:type="dxa"/>
        <w:tblLayout w:type="fixed"/>
        <w:tblCellMar>
          <w:top w:w="28" w:type="dxa"/>
          <w:left w:w="28" w:type="dxa"/>
          <w:bottom w:w="28" w:type="dxa"/>
          <w:right w:w="28" w:type="dxa"/>
        </w:tblCellMar>
      </w:tblPr>
      <w:tblGrid>
        <w:gridCol w:w="645"/>
        <w:gridCol w:w="568"/>
        <w:gridCol w:w="571"/>
        <w:gridCol w:w="595"/>
        <w:gridCol w:w="595"/>
        <w:gridCol w:w="595"/>
        <w:gridCol w:w="937"/>
        <w:gridCol w:w="937"/>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EXCHANGE ACT RULES 13a-14(a) AND 15d-14(a)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that: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Zoom Video Communications, Inc.;</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89" w:type="dxa"/>
        <w:jc w:val="left"/>
        <w:tblInd w:w="0" w:type="dxa"/>
        <w:tblLayout w:type="fixed"/>
        <w:tblCellMar>
          <w:top w:w="28" w:type="dxa"/>
          <w:left w:w="28" w:type="dxa"/>
          <w:bottom w:w="28" w:type="dxa"/>
          <w:right w:w="28" w:type="dxa"/>
        </w:tblCellMar>
      </w:tblPr>
      <w:tblGrid>
        <w:gridCol w:w="645"/>
        <w:gridCol w:w="568"/>
        <w:gridCol w:w="571"/>
        <w:gridCol w:w="595"/>
        <w:gridCol w:w="595"/>
        <w:gridCol w:w="595"/>
        <w:gridCol w:w="736"/>
        <w:gridCol w:w="736"/>
        <w:gridCol w:w="104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 THE SARBANES-OXLEY ACT OF 2002</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Eric S. Yuan, certify, pursuant to 18 U.S.C. Section 1350, as adopted pursuant to Section 906 of the Sarbanes-Oxley Act of 2002, that the Annual Report on Form 10-K of Zoom Video Communications, Inc. for the fiscal year ended January 31, 2024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tbl>
      <w:tblPr>
        <w:tblW w:w="6779" w:type="dxa"/>
        <w:jc w:val="left"/>
        <w:tblInd w:w="0" w:type="dxa"/>
        <w:tblLayout w:type="fixed"/>
        <w:tblCellMar>
          <w:top w:w="28" w:type="dxa"/>
          <w:left w:w="28" w:type="dxa"/>
          <w:bottom w:w="28" w:type="dxa"/>
          <w:right w:w="28" w:type="dxa"/>
        </w:tblCellMar>
      </w:tblPr>
      <w:tblGrid>
        <w:gridCol w:w="645"/>
        <w:gridCol w:w="568"/>
        <w:gridCol w:w="571"/>
        <w:gridCol w:w="595"/>
        <w:gridCol w:w="595"/>
        <w:gridCol w:w="595"/>
        <w:gridCol w:w="937"/>
        <w:gridCol w:w="937"/>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 Yuan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 Yuan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Kelly Steckelberg, certify, pursuant to 18 U.S.C. Section 1350, as adopted pursuant to Section 906 of the Sarbanes-Oxley Act of 2002, that the Annual Report on Form 10-K of Zoom Video Communications, Inc. for the fiscal year ended January 31, 2024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tbl>
      <w:tblPr>
        <w:tblW w:w="6089" w:type="dxa"/>
        <w:jc w:val="left"/>
        <w:tblInd w:w="0" w:type="dxa"/>
        <w:tblLayout w:type="fixed"/>
        <w:tblCellMar>
          <w:top w:w="28" w:type="dxa"/>
          <w:left w:w="28" w:type="dxa"/>
          <w:bottom w:w="28" w:type="dxa"/>
          <w:right w:w="28" w:type="dxa"/>
        </w:tblCellMar>
      </w:tblPr>
      <w:tblGrid>
        <w:gridCol w:w="645"/>
        <w:gridCol w:w="568"/>
        <w:gridCol w:w="571"/>
        <w:gridCol w:w="595"/>
        <w:gridCol w:w="595"/>
        <w:gridCol w:w="595"/>
        <w:gridCol w:w="736"/>
        <w:gridCol w:w="736"/>
        <w:gridCol w:w="104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ZOOM VIDEO COMMUNICATIONS,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Kelly Steckelberg</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Kelly Steckelberg</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Zoom Video Communications,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center"/>
        <w:rPr/>
      </w:pPr>
      <w:bookmarkStart w:id="0" w:name="clawbackpolicy.htm"/>
      <w:bookmarkStart w:id="1" w:name="ksclawbackpolicy"/>
      <w:bookmarkEnd w:id="0"/>
      <w:bookmarkEnd w:id="1"/>
      <w:r>
        <w:rPr/>
        <w:drawing>
          <wp:inline distT="0" distB="0" distL="0" distR="0">
            <wp:extent cx="10048875" cy="13001625"/>
            <wp:effectExtent l="0" t="0" r="0" b="0"/>
            <wp:docPr id="1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291437751 v4 ZOOM VIDEO COMMUNICATIONS, INC. CLAWBACK POLICY 1. INTRODUCTION The Compensation Committee (the “Compensation Committee”) of the Board of Directors (the “Board”) of Zoom Video Communications, Inc., a Delaware corporation (the “Company”), has determined that it is in the best interests of the Company and its stockholders to adopt this Clawback Policy (this “Policy”) providing for the Company’s recoupment of Recoverable Incentive Compensation that is received by Covered Officers of the Company under certain circumstances. Certain capitalized terms used in this Policy have the meanings given to such terms in Section 3 below. This Policy is designed to comply with, and shall be interpreted to be consistent with, Section 10D of the Exchange Act, Rule 10D-1 promulgated thereunder (“Rule 10D-1”) and Nasdaq Listing Rule 5608 (the “Listing Standards”). 2. EFFECTIVE DATE This Policy shall apply to all Incentive Compensation that is received by a Covered Officer on or after October 2, 2023 (the “Effective Date”). Incentive Compensation is deemed “received” in the Company’s fiscal period in which the Financial Reporting Measure specified in the Incentive Compensation award is attained, even if the payment or grant of such Incentive Compensation occurs after the end of that period. 3. DEFINITIONS “Accounting Restatement”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“Accounting Restatement Date”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 “Administrator” means the Compensation Committee or, in the absence of such committee, the Board. “Code” means the U.S. Internal Revenue Code of 1986, as amended, and the regulations promulgated thereunder. “Covered Officer” means each current and former Executive Officer. “Exchange” means the Nasdaq Stock Market. “Exchange Act” means the U.S. Securities Exchange Act of 1934, as amended. Exhibit 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291437751 v4 “Executive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 “Financial Reporting Measures” means measures that are determined and presented in accordance with the accounting principles used in preparing the Company’s financial statements, and any measures derived wholly or in part from such measures, including Company stock price and total stockholder return (“TSR”). A measure need not be presented in the Company’s financial statements or included in a filing with the SEC in order to be a Financial Reporting Measure. “Incentive Compensation” means any compensation that is granted, earned or vested based wholly or in part upon the attainment of a Financial Reporting Measure. “Lookback Period”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“Recoverable Incentive Compensation” means Incentive Compensation received by a Covered Officer during the Lookback Period that exceeds the amount of Incentive Compensation that would have been received had such amount been determined based on the Accounting Restatement, computed without regard to any taxes paid (i.e.,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 “SEC” means the U.S. Securities and Exchange Commission. 4. RECOUPMENT (a) Applicability of Policy. 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(b) Recoupment Generally. Pursuant to the provisions of this Policy, if there is an Accounting Exhibit 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291437751 v4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(c) Impracticability of Recovery. Recoupment may be determined to be impracticable if, and only if: (i) 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 (ii) 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 (d) Sources of Recoupment. 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 (e) No Indemnification of Covered Officers. 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 (f) Indemnification of Administrator. 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Exhibit 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291437751 v4 determination or interpretation. The foregoing sentence shall not limit any other rights to indemnification of the members of the Board under applicable law or Company policy. (g) No “Good Reason” for Covered Officers. 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 5. ADMINISTRATION 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 6. SEVERABILITY 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 7. NO IMPAIRMENT OF OTHER REMEDIES 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 8. AMENDMENT; TERMINATION The Administrator may amend, terminate or replace this Policy or any portion of this Policy at any time and from time to time in its sole discretion. The Administrator shall amend this Policy as it deems necessary to comply with applicable law or any Listing Standard. Exhibit 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291437751 v4 9. SUCCESSORS This Policy shall be binding and enforceable against all Covered Officers and, to the extent required by Rule 10D-1 and/or the applicable Listing Standards, their beneficiaries, heirs, executors, administrators or other legal representatives. 10. REQUIRED FILINGS The Company shall make any disclosures and filings with respect to this Policy that are required by law, including as required by the SEC. * * * * * Exhibit 97.1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85521/000119312519115111/d736915dex31.htm" TargetMode="External"/><Relationship Id="rId4" Type="http://schemas.openxmlformats.org/officeDocument/2006/relationships/hyperlink" Target="https://www.sec.gov/Archives/edgar/data/1585521/000158552123000035/zoom-amendedandrestatedb.htm" TargetMode="External"/><Relationship Id="rId5" Type="http://schemas.openxmlformats.org/officeDocument/2006/relationships/hyperlink" Target="http://www.sec.gov/Archives/edgar/data/1585521/000119312519099813/d642624dex41.htm" TargetMode="External"/><Relationship Id="rId6" Type="http://schemas.openxmlformats.org/officeDocument/2006/relationships/hyperlink" Target="http://www.sec.gov/Archives/edgar/data/1585521/000119312519083351/d642624dex42.htm" TargetMode="External"/><Relationship Id="rId7" Type="http://schemas.openxmlformats.org/officeDocument/2006/relationships/hyperlink" Target="http://www.sec.gov/Archives/edgar/data/1585521/000119312519083351/d642624dex101.htm" TargetMode="External"/><Relationship Id="rId8" Type="http://schemas.openxmlformats.org/officeDocument/2006/relationships/hyperlink" Target="https://www.sec.gov/Archives/edgar/data/1585521/000158552122000213/exhibit102_zoomamendedandr.htm" TargetMode="External"/><Relationship Id="rId9" Type="http://schemas.openxmlformats.org/officeDocument/2006/relationships/hyperlink" Target="https://www.sec.gov/Archives/edgar/data/1585521/000158552120000238/a20200731-10qxex103.htm" TargetMode="External"/><Relationship Id="rId10" Type="http://schemas.openxmlformats.org/officeDocument/2006/relationships/hyperlink" Target="https://www.sec.gov/Archives/edgar/data/1585521/000158552120000299/zm-20201031xex101.htm" TargetMode="External"/><Relationship Id="rId11" Type="http://schemas.openxmlformats.org/officeDocument/2006/relationships/hyperlink" Target="http://www.sec.gov/Archives/edgar/data/1585521/000119312519099813/d642624dex103.htm" TargetMode="External"/><Relationship Id="rId12" Type="http://schemas.openxmlformats.org/officeDocument/2006/relationships/hyperlink" Target="https://www.sec.gov/Archives/edgar/data/1585521/000119312519083351/d642624dex104.htm" TargetMode="External"/><Relationship Id="rId13" Type="http://schemas.openxmlformats.org/officeDocument/2006/relationships/hyperlink" Target="https://www.sec.gov/Archives/edgar/data/1585521/000158552123000035/zm-20230131xex107.htm" TargetMode="External"/><Relationship Id="rId14" Type="http://schemas.openxmlformats.org/officeDocument/2006/relationships/hyperlink" Target="http://www.sec.gov/Archives/edgar/data/1585521/000158552119000020/exhibit102_2019eiprsuexe.htm" TargetMode="External"/><Relationship Id="rId15" Type="http://schemas.openxmlformats.org/officeDocument/2006/relationships/hyperlink" Target="http://www.sec.gov/Archives/edgar/data/1585521/000158552119000020/exhibit103_2019eiprsunon.htm" TargetMode="External"/><Relationship Id="rId16" Type="http://schemas.openxmlformats.org/officeDocument/2006/relationships/hyperlink" Target="http://www.sec.gov/Archives/edgar/data/1585521/000119312519083351/d642624dex105.htm" TargetMode="External"/><Relationship Id="rId17" Type="http://schemas.openxmlformats.org/officeDocument/2006/relationships/hyperlink" Target="http://www.sec.gov/Archives/edgar/data/1585521/000119312519083351/d642624dex106.htm" TargetMode="External"/><Relationship Id="rId18" Type="http://schemas.openxmlformats.org/officeDocument/2006/relationships/hyperlink" Target="http://www.sec.gov/Archives/edgar/data/1585521/000119312519083351/d642624dex108.htm" TargetMode="External"/><Relationship Id="rId19" Type="http://schemas.openxmlformats.org/officeDocument/2006/relationships/hyperlink" Target="https://www.sec.gov/Archives/edgar/data/1585521/000158552120000238/zm20200731ex101.htm" TargetMode="External"/><Relationship Id="rId20" Type="http://schemas.openxmlformats.org/officeDocument/2006/relationships/hyperlink" Target="https://www.sec.gov/Archives/edgar/data/1585521/000158552122000180/exhibit101_finalexecutedgr.htm" TargetMode="External"/><Relationship Id="rId21" Type="http://schemas.openxmlformats.org/officeDocument/2006/relationships/hyperlink" Target="https://www.sec.gov/Archives/edgar/data/1585521/000158552120000238/zm-20200731x10qxex102.htm" TargetMode="External"/><Relationship Id="rId22" Type="http://schemas.openxmlformats.org/officeDocument/2006/relationships/hyperlink" Target="https://www.sec.gov/Archives/edgar/data/1585521/000158552121000048/ex1017_napolitanoofferlett.htm" TargetMode="External"/><Relationship Id="rId23" Type="http://schemas.openxmlformats.org/officeDocument/2006/relationships/hyperlink" Target="https://www.sec.gov/Archives/edgar/data/1585521/000158552122000106/zoom-boardofferlettermcder.htm" TargetMode="External"/><Relationship Id="rId24" Type="http://schemas.openxmlformats.org/officeDocument/2006/relationships/hyperlink" Target="https://www.sec.gov/Archives/edgar/data/1585521/000158552123000035/zm-20230131xex1020.htm" TargetMode="External"/><Relationship Id="rId25" Type="http://schemas.openxmlformats.org/officeDocument/2006/relationships/hyperlink" Target="https://www.sec.gov/Archives/edgar/data/1585521/000119312519083351/d642624dex109.htm" TargetMode="External"/><Relationship Id="rId26" Type="http://schemas.openxmlformats.org/officeDocument/2006/relationships/hyperlink" Target="http://www.sec.gov/Archives/edgar/data/1585521/000158552119000020/exhibit105_lease4thamend.htm" TargetMode="External"/><Relationship Id="rId27" Type="http://schemas.openxmlformats.org/officeDocument/2006/relationships/hyperlink" Target="https://www.sec.gov/Archives/edgar/data/1585521/000158552120000154/zm-20200430xex101xexport.htm" TargetMode="External"/><Relationship Id="rId28" Type="http://schemas.openxmlformats.org/officeDocument/2006/relationships/hyperlink" Target="https://www.sec.gov/Archives/edgar/data/1585521/000158552122000037/ex1021_zoom-officerbonuspl.htm" TargetMode="External"/><Relationship Id="rId29" Type="http://schemas.openxmlformats.org/officeDocument/2006/relationships/hyperlink" Target="http://www.sec.gov/Archives/edgar/data/1585521/000119312519099813/d642624dex1011.htm" TargetMode="External"/><Relationship Id="rId30" Type="http://schemas.openxmlformats.org/officeDocument/2006/relationships/hyperlink" Target="https://www.sec.gov/Archives/edgar/data/1585521/000158552122000180/exhibit102_zoom-severancea.htm" TargetMode="External"/><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74630</Words>
  <Characters>417827</Characters>
  <CharactersWithSpaces>489705</CharactersWithSpaces>
  <Paragraphs>4352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clawbackpolicy</dc:title>
</cp:coreProperties>
</file>