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417830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443230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10-K</w:t>
      </w:r>
    </w:p>
    <w:p>
      <w:pPr>
        <w:spacing w:after="0" w:line="34"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January 31, 2021</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4" w:lineRule="exact"/>
        <w:rPr>
          <w:sz w:val="24"/>
          <w:szCs w:val="24"/>
          <w:color w:val="auto"/>
        </w:rPr>
      </w:pPr>
    </w:p>
    <w:tbl>
      <w:tblPr>
        <w:tblLayout w:type="fixed"/>
        <w:tblInd w:w="3040" w:type="dxa"/>
        <w:tblCellMar>
          <w:top w:w="0" w:type="dxa"/>
          <w:left w:w="0" w:type="dxa"/>
          <w:bottom w:w="0" w:type="dxa"/>
          <w:right w:w="0" w:type="dxa"/>
        </w:tblCellMar>
      </w:tblPr>
      <w:tr>
        <w:trPr>
          <w:trHeight w:val="207"/>
        </w:trPr>
        <w:tc>
          <w:tcPr>
            <w:tcW w:w="338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72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r>
      <w:tr>
        <w:trPr>
          <w:trHeight w:val="270"/>
        </w:trPr>
        <w:tc>
          <w:tcPr>
            <w:tcW w:w="4100" w:type="dxa"/>
            <w:vAlign w:val="bottom"/>
            <w:gridSpan w:val="2"/>
          </w:tcPr>
          <w:p>
            <w:pPr>
              <w:ind w:left="1180"/>
              <w:spacing w:after="0"/>
              <w:rPr>
                <w:sz w:val="20"/>
                <w:szCs w:val="20"/>
                <w:color w:val="auto"/>
              </w:rPr>
            </w:pPr>
            <w:r>
              <w:rPr>
                <w:rFonts w:ascii="Arial" w:cs="Arial" w:eastAsia="Arial" w:hAnsi="Arial"/>
                <w:sz w:val="18"/>
                <w:szCs w:val="18"/>
                <w:b w:val="1"/>
                <w:bCs w:val="1"/>
                <w:color w:val="auto"/>
                <w:w w:val="94"/>
              </w:rPr>
              <w:t>Commission File Number 001-38865</w:t>
            </w:r>
          </w:p>
        </w:tc>
        <w:tc>
          <w:tcPr>
            <w:tcW w:w="30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4752340</wp:posOffset>
            </wp:positionH>
            <wp:positionV relativeFrom="paragraph">
              <wp:posOffset>-183515</wp:posOffset>
            </wp:positionV>
            <wp:extent cx="457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Zoom Video Communications, Inc.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34" w:lineRule="exact"/>
        <w:rPr>
          <w:sz w:val="24"/>
          <w:szCs w:val="24"/>
          <w:color w:val="auto"/>
        </w:rPr>
      </w:pPr>
    </w:p>
    <w:tbl>
      <w:tblPr>
        <w:tblLayout w:type="fixed"/>
        <w:tblInd w:w="1680" w:type="dxa"/>
        <w:tblCellMar>
          <w:top w:w="0" w:type="dxa"/>
          <w:left w:w="0" w:type="dxa"/>
          <w:bottom w:w="0" w:type="dxa"/>
          <w:right w:w="0" w:type="dxa"/>
        </w:tblCellMar>
      </w:tblPr>
      <w:tr>
        <w:trPr>
          <w:trHeight w:val="210"/>
        </w:trPr>
        <w:tc>
          <w:tcPr>
            <w:tcW w:w="4200" w:type="dxa"/>
            <w:vAlign w:val="bottom"/>
          </w:tcPr>
          <w:p>
            <w:pPr>
              <w:jc w:val="center"/>
              <w:ind w:right="1839"/>
              <w:spacing w:after="0"/>
              <w:rPr>
                <w:sz w:val="20"/>
                <w:szCs w:val="20"/>
                <w:color w:val="auto"/>
              </w:rPr>
            </w:pPr>
            <w:r>
              <w:rPr>
                <w:rFonts w:ascii="Arial" w:cs="Arial" w:eastAsia="Arial" w:hAnsi="Arial"/>
                <w:sz w:val="16"/>
                <w:szCs w:val="16"/>
                <w:b w:val="1"/>
                <w:bCs w:val="1"/>
                <w:color w:val="auto"/>
                <w:w w:val="91"/>
              </w:rPr>
              <w:t>Delaware</w:t>
            </w:r>
          </w:p>
        </w:tc>
        <w:tc>
          <w:tcPr>
            <w:tcW w:w="3180" w:type="dxa"/>
            <w:vAlign w:val="bottom"/>
          </w:tcPr>
          <w:p>
            <w:pPr>
              <w:jc w:val="center"/>
              <w:ind w:left="1819"/>
              <w:spacing w:after="0"/>
              <w:rPr>
                <w:sz w:val="20"/>
                <w:szCs w:val="20"/>
                <w:color w:val="auto"/>
              </w:rPr>
            </w:pPr>
            <w:r>
              <w:rPr>
                <w:rFonts w:ascii="Arial" w:cs="Arial" w:eastAsia="Arial" w:hAnsi="Arial"/>
                <w:sz w:val="16"/>
                <w:szCs w:val="16"/>
                <w:b w:val="1"/>
                <w:bCs w:val="1"/>
                <w:color w:val="auto"/>
                <w:w w:val="93"/>
              </w:rPr>
              <w:t>61-1648780</w:t>
            </w:r>
          </w:p>
        </w:tc>
      </w:tr>
      <w:tr>
        <w:trPr>
          <w:trHeight w:val="168"/>
        </w:trPr>
        <w:tc>
          <w:tcPr>
            <w:tcW w:w="4200" w:type="dxa"/>
            <w:vAlign w:val="bottom"/>
          </w:tcPr>
          <w:p>
            <w:pPr>
              <w:jc w:val="center"/>
              <w:ind w:right="1839"/>
              <w:spacing w:after="0" w:line="168" w:lineRule="exact"/>
              <w:rPr>
                <w:sz w:val="20"/>
                <w:szCs w:val="20"/>
                <w:color w:val="auto"/>
              </w:rPr>
            </w:pPr>
            <w:r>
              <w:rPr>
                <w:rFonts w:ascii="Arial" w:cs="Arial" w:eastAsia="Arial" w:hAnsi="Arial"/>
                <w:sz w:val="16"/>
                <w:szCs w:val="16"/>
                <w:b w:val="1"/>
                <w:bCs w:val="1"/>
                <w:color w:val="auto"/>
                <w:w w:val="91"/>
              </w:rPr>
              <w:t>(State or other jurisdiction</w:t>
            </w:r>
          </w:p>
        </w:tc>
        <w:tc>
          <w:tcPr>
            <w:tcW w:w="3180" w:type="dxa"/>
            <w:vAlign w:val="bottom"/>
          </w:tcPr>
          <w:p>
            <w:pPr>
              <w:jc w:val="center"/>
              <w:ind w:left="1819"/>
              <w:spacing w:after="0" w:line="168" w:lineRule="exact"/>
              <w:rPr>
                <w:sz w:val="20"/>
                <w:szCs w:val="20"/>
                <w:color w:val="auto"/>
              </w:rPr>
            </w:pPr>
            <w:r>
              <w:rPr>
                <w:rFonts w:ascii="Arial" w:cs="Arial" w:eastAsia="Arial" w:hAnsi="Arial"/>
                <w:sz w:val="16"/>
                <w:szCs w:val="16"/>
                <w:b w:val="1"/>
                <w:bCs w:val="1"/>
                <w:color w:val="auto"/>
                <w:w w:val="94"/>
              </w:rPr>
              <w:t>(I.R.S. Employer</w:t>
            </w:r>
          </w:p>
        </w:tc>
      </w:tr>
      <w:tr>
        <w:trPr>
          <w:trHeight w:val="210"/>
        </w:trPr>
        <w:tc>
          <w:tcPr>
            <w:tcW w:w="4200" w:type="dxa"/>
            <w:vAlign w:val="bottom"/>
          </w:tcPr>
          <w:p>
            <w:pPr>
              <w:jc w:val="center"/>
              <w:ind w:right="1839"/>
              <w:spacing w:after="0"/>
              <w:rPr>
                <w:sz w:val="20"/>
                <w:szCs w:val="20"/>
                <w:color w:val="auto"/>
              </w:rPr>
            </w:pPr>
            <w:r>
              <w:rPr>
                <w:rFonts w:ascii="Arial" w:cs="Arial" w:eastAsia="Arial" w:hAnsi="Arial"/>
                <w:sz w:val="16"/>
                <w:szCs w:val="16"/>
                <w:b w:val="1"/>
                <w:bCs w:val="1"/>
                <w:color w:val="auto"/>
                <w:w w:val="91"/>
              </w:rPr>
              <w:t>of incorporation or organization)</w:t>
            </w:r>
          </w:p>
        </w:tc>
        <w:tc>
          <w:tcPr>
            <w:tcW w:w="3180" w:type="dxa"/>
            <w:vAlign w:val="bottom"/>
          </w:tcPr>
          <w:p>
            <w:pPr>
              <w:jc w:val="center"/>
              <w:ind w:left="1819"/>
              <w:spacing w:after="0"/>
              <w:rPr>
                <w:sz w:val="20"/>
                <w:szCs w:val="20"/>
                <w:color w:val="auto"/>
              </w:rPr>
            </w:pPr>
            <w:r>
              <w:rPr>
                <w:rFonts w:ascii="Arial" w:cs="Arial" w:eastAsia="Arial" w:hAnsi="Arial"/>
                <w:sz w:val="16"/>
                <w:szCs w:val="16"/>
                <w:b w:val="1"/>
                <w:bCs w:val="1"/>
                <w:color w:val="auto"/>
                <w:w w:val="94"/>
              </w:rPr>
              <w:t>Identification No.)</w:t>
            </w:r>
          </w:p>
        </w:tc>
      </w:tr>
    </w:tbl>
    <w:p>
      <w:pPr>
        <w:spacing w:after="0" w:line="95"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55 Almaden Boulevard, 6</w:t>
      </w:r>
      <w:r>
        <w:rPr>
          <w:rFonts w:ascii="Arial" w:cs="Arial" w:eastAsia="Arial" w:hAnsi="Arial"/>
          <w:sz w:val="16"/>
          <w:szCs w:val="16"/>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San Jose, California 95113</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(Address of principal executive offices and Zip Code)</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(888) 799-9666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1"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___________________________________________________________________</w:t>
      </w:r>
    </w:p>
    <w:p>
      <w:pPr>
        <w:spacing w:after="0" w:line="5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680" w:type="dxa"/>
            <w:vAlign w:val="bottom"/>
          </w:tcPr>
          <w:p>
            <w:pPr>
              <w:spacing w:after="0"/>
              <w:rPr>
                <w:sz w:val="17"/>
                <w:szCs w:val="17"/>
                <w:color w:val="auto"/>
              </w:rPr>
            </w:pPr>
          </w:p>
        </w:tc>
        <w:tc>
          <w:tcPr>
            <w:tcW w:w="7520" w:type="dxa"/>
            <w:vAlign w:val="bottom"/>
            <w:gridSpan w:val="6"/>
          </w:tcPr>
          <w:p>
            <w:pPr>
              <w:ind w:left="8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3"/>
        </w:trPr>
        <w:tc>
          <w:tcPr>
            <w:tcW w:w="3680" w:type="dxa"/>
            <w:vAlign w:val="bottom"/>
          </w:tcPr>
          <w:p>
            <w:pPr>
              <w:jc w:val="center"/>
              <w:ind w:left="485"/>
              <w:spacing w:after="0"/>
              <w:rPr>
                <w:sz w:val="20"/>
                <w:szCs w:val="20"/>
                <w:color w:val="auto"/>
              </w:rPr>
            </w:pPr>
            <w:r>
              <w:rPr>
                <w:rFonts w:ascii="Arial" w:cs="Arial" w:eastAsia="Arial" w:hAnsi="Arial"/>
                <w:sz w:val="16"/>
                <w:szCs w:val="16"/>
                <w:b w:val="1"/>
                <w:bCs w:val="1"/>
                <w:color w:val="auto"/>
                <w:w w:val="87"/>
              </w:rPr>
              <w:t>Title of each class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1"/>
              </w:rPr>
              <w:t>Trading Symbol(s)</w:t>
            </w:r>
          </w:p>
        </w:tc>
        <w:tc>
          <w:tcPr>
            <w:tcW w:w="3840" w:type="dxa"/>
            <w:vAlign w:val="bottom"/>
          </w:tcPr>
          <w:p>
            <w:pPr>
              <w:jc w:val="center"/>
              <w:ind w:right="325"/>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179"/>
        </w:trPr>
        <w:tc>
          <w:tcPr>
            <w:tcW w:w="3680" w:type="dxa"/>
            <w:vAlign w:val="bottom"/>
            <w:tcBorders>
              <w:top w:val="single" w:sz="8" w:color="auto"/>
            </w:tcBorders>
          </w:tcPr>
          <w:p>
            <w:pPr>
              <w:jc w:val="center"/>
              <w:ind w:left="505"/>
              <w:spacing w:after="0"/>
              <w:rPr>
                <w:sz w:val="20"/>
                <w:szCs w:val="20"/>
                <w:color w:val="auto"/>
              </w:rPr>
            </w:pPr>
            <w:r>
              <w:rPr>
                <w:rFonts w:ascii="Arial" w:cs="Arial" w:eastAsia="Arial" w:hAnsi="Arial"/>
                <w:sz w:val="14"/>
                <w:szCs w:val="14"/>
                <w:color w:val="auto"/>
                <w:w w:val="92"/>
              </w:rPr>
              <w:t>Class A Common Stock, $0.001 par value per share</w:t>
            </w: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ZM</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840" w:type="dxa"/>
            <w:vAlign w:val="bottom"/>
            <w:tcBorders>
              <w:top w:val="single" w:sz="8" w:color="auto"/>
            </w:tcBorders>
          </w:tcPr>
          <w:p>
            <w:pPr>
              <w:jc w:val="center"/>
              <w:ind w:right="325"/>
              <w:spacing w:after="0"/>
              <w:rPr>
                <w:sz w:val="20"/>
                <w:szCs w:val="20"/>
                <w:color w:val="auto"/>
              </w:rPr>
            </w:pPr>
            <w:r>
              <w:rPr>
                <w:rFonts w:ascii="Arial" w:cs="Arial" w:eastAsia="Arial" w:hAnsi="Arial"/>
                <w:sz w:val="14"/>
                <w:szCs w:val="14"/>
                <w:color w:val="auto"/>
                <w:w w:val="93"/>
              </w:rPr>
              <w:t>The Nasdaq Global Select Market</w:t>
            </w:r>
          </w:p>
        </w:tc>
      </w:tr>
      <w:tr>
        <w:trPr>
          <w:trHeight w:val="294"/>
        </w:trPr>
        <w:tc>
          <w:tcPr>
            <w:tcW w:w="7360" w:type="dxa"/>
            <w:vAlign w:val="bottom"/>
            <w:gridSpan w:val="6"/>
          </w:tcPr>
          <w:p>
            <w:pPr>
              <w:spacing w:after="0" w:line="161" w:lineRule="exact"/>
              <w:rPr>
                <w:sz w:val="20"/>
                <w:szCs w:val="20"/>
                <w:color w:val="auto"/>
              </w:rPr>
            </w:pPr>
            <w:r>
              <w:rPr>
                <w:rFonts w:ascii="Arial" w:cs="Arial" w:eastAsia="Arial" w:hAnsi="Arial"/>
                <w:sz w:val="14"/>
                <w:szCs w:val="14"/>
                <w:color w:val="auto"/>
                <w:w w:val="94"/>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4"/>
              </w:rPr>
              <w:t>☒</w:t>
            </w:r>
          </w:p>
        </w:tc>
        <w:tc>
          <w:tcPr>
            <w:tcW w:w="384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4" w:lineRule="exact"/>
        <w:rPr>
          <w:sz w:val="24"/>
          <w:szCs w:val="24"/>
          <w:color w:val="auto"/>
        </w:rPr>
      </w:pPr>
    </w:p>
    <w:p>
      <w:pPr>
        <w:spacing w:after="0" w:line="161" w:lineRule="exact"/>
        <w:tabs>
          <w:tab w:leader="none" w:pos="9960" w:val="left"/>
          <w:tab w:leader="none" w:pos="1052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Securities Exchange Act of 1934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2"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70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270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3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85"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6"/>
          <w:szCs w:val="16"/>
          <w:color w:val="auto"/>
        </w:rPr>
        <w:t>.</w:t>
      </w:r>
      <w:r>
        <w:rPr>
          <w:rFonts w:ascii="Arial" w:cs="Arial" w:eastAsia="Arial" w:hAnsi="Arial"/>
          <w:sz w:val="14"/>
          <w:szCs w:val="14"/>
          <w:color w:val="auto"/>
        </w:rPr>
        <w:t xml:space="preserve"> </w:t>
      </w:r>
      <w:r>
        <w:rPr>
          <w:rFonts w:ascii="MS PGothic" w:cs="MS PGothic" w:eastAsia="MS PGothic" w:hAnsi="MS PGothic"/>
          <w:sz w:val="14"/>
          <w:szCs w:val="14"/>
          <w:color w:val="auto"/>
        </w:rPr>
        <w:t>☐</w:t>
      </w:r>
    </w:p>
    <w:p>
      <w:pPr>
        <w:spacing w:after="0" w:line="18"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tabs>
          <w:tab w:leader="none" w:pos="6680" w:val="left"/>
          <w:tab w:leader="none" w:pos="72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right="20"/>
        <w:spacing w:after="0" w:line="257" w:lineRule="auto"/>
        <w:rPr>
          <w:sz w:val="20"/>
          <w:szCs w:val="20"/>
          <w:color w:val="auto"/>
        </w:rPr>
      </w:pPr>
      <w:r>
        <w:rPr>
          <w:rFonts w:ascii="Arial" w:cs="Arial" w:eastAsia="Arial" w:hAnsi="Arial"/>
          <w:sz w:val="14"/>
          <w:szCs w:val="14"/>
          <w:color w:val="auto"/>
        </w:rPr>
        <w:t>The aggregate market value of the registrant's Class A common stock held by non-affiliates of the registrant, based on the closing price of a share of the registrant's Class A common stock on July 31, 2020 as reported by the Nasdaq Global Select Market on such date was approximately $53.7 billion. This calculation does not reflect a determination that certain persons are affiliates of the registrant for any other purpose.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369"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As of March 5, 2021, the number of shares of the registrant’s Class A common stock outstanding was 234,240,582 and the number of shares of the registrant’s Class B common stock outstanding was 59,473,463.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244" w:lineRule="exact"/>
        <w:rPr>
          <w:sz w:val="20"/>
          <w:szCs w:val="20"/>
          <w:color w:val="auto"/>
        </w:rPr>
      </w:pPr>
    </w:p>
    <w:p>
      <w:pPr>
        <w:spacing w:after="0" w:line="312" w:lineRule="auto"/>
        <w:rPr>
          <w:sz w:val="20"/>
          <w:szCs w:val="20"/>
          <w:color w:val="auto"/>
        </w:rPr>
      </w:pPr>
      <w:r>
        <w:rPr>
          <w:rFonts w:ascii="Arial" w:cs="Arial" w:eastAsia="Arial" w:hAnsi="Arial"/>
          <w:sz w:val="13"/>
          <w:szCs w:val="13"/>
          <w:color w:val="auto"/>
        </w:rPr>
        <w:t>Portions of the registrant's definitive Proxy Statement relating to the 2021 Annual Meeting of Stockholders are incorporated herein by references in Part III of this Annual Report on Form 10-K to the extent stated herein. Such Proxy Statement will be filed with the Securities and Exchange Commission within 120 days of the registrant's fiscal year ended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rFonts w:ascii="Arial" w:cs="Arial" w:eastAsia="Arial" w:hAnsi="Arial"/>
                <w:sz w:val="18"/>
                <w:szCs w:val="18"/>
                <w:u w:val="single" w:color="auto"/>
                <w:color w:val="0000FF"/>
                <w:w w:val="97"/>
              </w:rPr>
            </w:pPr>
            <w:hyperlink w:anchor="page2">
              <w:r>
                <w:rPr>
                  <w:rFonts w:ascii="Arial" w:cs="Arial" w:eastAsia="Arial" w:hAnsi="Arial"/>
                  <w:sz w:val="18"/>
                  <w:szCs w:val="18"/>
                  <w:u w:val="single" w:color="auto"/>
                  <w:color w:val="0000FF"/>
                  <w:w w:val="97"/>
                </w:rPr>
                <w:t>Table of Contents</w:t>
              </w:r>
            </w:hyperlink>
          </w:p>
        </w:tc>
        <w:tc>
          <w:tcPr>
            <w:tcW w:w="83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945"/>
        </w:trPr>
        <w:tc>
          <w:tcPr>
            <w:tcW w:w="1400" w:type="dxa"/>
            <w:vAlign w:val="bottom"/>
          </w:tcPr>
          <w:p>
            <w:pPr>
              <w:spacing w:after="0"/>
              <w:rPr>
                <w:sz w:val="24"/>
                <w:szCs w:val="24"/>
                <w:color w:val="auto"/>
              </w:rPr>
            </w:pPr>
          </w:p>
        </w:tc>
        <w:tc>
          <w:tcPr>
            <w:tcW w:w="8340" w:type="dxa"/>
            <w:vAlign w:val="bottom"/>
          </w:tcPr>
          <w:p>
            <w:pPr>
              <w:jc w:val="center"/>
              <w:ind w:left="10"/>
              <w:spacing w:after="0"/>
              <w:rPr>
                <w:sz w:val="20"/>
                <w:szCs w:val="20"/>
                <w:color w:val="auto"/>
              </w:rPr>
            </w:pPr>
            <w:r>
              <w:rPr>
                <w:rFonts w:ascii="Arial" w:cs="Arial" w:eastAsia="Arial" w:hAnsi="Arial"/>
                <w:sz w:val="18"/>
                <w:szCs w:val="18"/>
                <w:b w:val="1"/>
                <w:bCs w:val="1"/>
                <w:color w:val="auto"/>
                <w:w w:val="98"/>
              </w:rPr>
              <w:t>TABLE OF CONTENTS</w:t>
            </w:r>
          </w:p>
        </w:tc>
        <w:tc>
          <w:tcPr>
            <w:tcW w:w="1500" w:type="dxa"/>
            <w:vAlign w:val="bottom"/>
          </w:tcPr>
          <w:p>
            <w:pPr>
              <w:spacing w:after="0"/>
              <w:rPr>
                <w:sz w:val="24"/>
                <w:szCs w:val="24"/>
                <w:color w:val="auto"/>
              </w:rPr>
            </w:pPr>
          </w:p>
        </w:tc>
      </w:tr>
      <w:tr>
        <w:trPr>
          <w:trHeight w:val="445"/>
        </w:trPr>
        <w:tc>
          <w:tcPr>
            <w:tcW w:w="140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Arial" w:cs="Arial" w:eastAsia="Arial" w:hAnsi="Arial"/>
                <w:sz w:val="18"/>
                <w:szCs w:val="18"/>
                <w:b w:val="1"/>
                <w:bCs w:val="1"/>
                <w:color w:val="auto"/>
              </w:rPr>
              <w:t>Part I</w:t>
            </w:r>
          </w:p>
        </w:tc>
        <w:tc>
          <w:tcPr>
            <w:tcW w:w="15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Page</w:t>
            </w:r>
          </w:p>
        </w:tc>
      </w:tr>
      <w:tr>
        <w:trPr>
          <w:trHeight w:val="222"/>
        </w:trPr>
        <w:tc>
          <w:tcPr>
            <w:tcW w:w="1400" w:type="dxa"/>
            <w:vAlign w:val="bottom"/>
          </w:tcPr>
          <w:p>
            <w:pPr>
              <w:ind w:left="20"/>
              <w:spacing w:after="0"/>
              <w:rPr>
                <w:sz w:val="20"/>
                <w:szCs w:val="20"/>
                <w:color w:val="auto"/>
              </w:rPr>
            </w:pPr>
            <w:r>
              <w:rPr>
                <w:rFonts w:ascii="Arial" w:cs="Arial" w:eastAsia="Arial" w:hAnsi="Arial"/>
                <w:sz w:val="18"/>
                <w:szCs w:val="18"/>
                <w:color w:val="auto"/>
              </w:rPr>
              <w:t>Item 1.</w:t>
            </w:r>
          </w:p>
        </w:tc>
        <w:tc>
          <w:tcPr>
            <w:tcW w:w="8340" w:type="dxa"/>
            <w:vAlign w:val="bottom"/>
          </w:tcPr>
          <w:p>
            <w:pPr>
              <w:ind w:left="1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Business</w:t>
              </w:r>
            </w:hyperlink>
          </w:p>
        </w:tc>
        <w:tc>
          <w:tcPr>
            <w:tcW w:w="1500" w:type="dxa"/>
            <w:vAlign w:val="bottom"/>
          </w:tcPr>
          <w:p>
            <w:pPr>
              <w:jc w:val="center"/>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6</w:t>
              </w:r>
            </w:hyperlink>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Item 1A.</w:t>
            </w:r>
          </w:p>
        </w:tc>
        <w:tc>
          <w:tcPr>
            <w:tcW w:w="8340" w:type="dxa"/>
            <w:vAlign w:val="bottom"/>
          </w:tcPr>
          <w:p>
            <w:pPr>
              <w:ind w:left="12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Risk Factors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13">
              <w:r>
                <w:rPr>
                  <w:rFonts w:ascii="Arial" w:cs="Arial" w:eastAsia="Arial" w:hAnsi="Arial"/>
                  <w:sz w:val="18"/>
                  <w:szCs w:val="18"/>
                  <w:u w:val="single" w:color="auto"/>
                  <w:color w:val="0000FF"/>
                  <w:w w:val="89"/>
                </w:rPr>
                <w:t>12</w:t>
              </w:r>
            </w:hyperlink>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Item 1B.</w:t>
            </w:r>
          </w:p>
        </w:tc>
        <w:tc>
          <w:tcPr>
            <w:tcW w:w="8340" w:type="dxa"/>
            <w:vAlign w:val="bottom"/>
          </w:tcPr>
          <w:p>
            <w:pPr>
              <w:ind w:left="1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Unresolved Staff Comments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42">
              <w:r>
                <w:rPr>
                  <w:rFonts w:ascii="Arial" w:cs="Arial" w:eastAsia="Arial" w:hAnsi="Arial"/>
                  <w:sz w:val="18"/>
                  <w:szCs w:val="18"/>
                  <w:u w:val="single" w:color="auto"/>
                  <w:color w:val="0000FF"/>
                  <w:w w:val="89"/>
                </w:rPr>
                <w:t>42</w:t>
              </w:r>
            </w:hyperlink>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Item 2.</w:t>
            </w:r>
          </w:p>
        </w:tc>
        <w:tc>
          <w:tcPr>
            <w:tcW w:w="8340" w:type="dxa"/>
            <w:vAlign w:val="bottom"/>
          </w:tcPr>
          <w:p>
            <w:pPr>
              <w:ind w:left="1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Properties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42</w:t>
              </w:r>
            </w:hyperlink>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Item 3.</w:t>
            </w:r>
          </w:p>
        </w:tc>
        <w:tc>
          <w:tcPr>
            <w:tcW w:w="8340" w:type="dxa"/>
            <w:vAlign w:val="bottom"/>
          </w:tcPr>
          <w:p>
            <w:pPr>
              <w:ind w:left="1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Legal Proceedings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42</w:t>
              </w:r>
            </w:hyperlink>
          </w:p>
        </w:tc>
      </w:tr>
      <w:tr>
        <w:trPr>
          <w:trHeight w:val="226"/>
        </w:trPr>
        <w:tc>
          <w:tcPr>
            <w:tcW w:w="1400" w:type="dxa"/>
            <w:vAlign w:val="bottom"/>
          </w:tcPr>
          <w:p>
            <w:pPr>
              <w:ind w:left="20"/>
              <w:spacing w:after="0"/>
              <w:rPr>
                <w:sz w:val="20"/>
                <w:szCs w:val="20"/>
                <w:color w:val="auto"/>
              </w:rPr>
            </w:pPr>
            <w:r>
              <w:rPr>
                <w:rFonts w:ascii="Arial" w:cs="Arial" w:eastAsia="Arial" w:hAnsi="Arial"/>
                <w:sz w:val="18"/>
                <w:szCs w:val="18"/>
                <w:color w:val="auto"/>
              </w:rPr>
              <w:t>Item 4.</w:t>
            </w:r>
          </w:p>
        </w:tc>
        <w:tc>
          <w:tcPr>
            <w:tcW w:w="8340" w:type="dxa"/>
            <w:vAlign w:val="bottom"/>
          </w:tcPr>
          <w:p>
            <w:pPr>
              <w:ind w:left="1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Mine Safety Disclosures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42</w:t>
              </w:r>
            </w:hyperlink>
          </w:p>
        </w:tc>
      </w:tr>
      <w:tr>
        <w:trPr>
          <w:trHeight w:val="233"/>
        </w:trPr>
        <w:tc>
          <w:tcPr>
            <w:tcW w:w="1400" w:type="dxa"/>
            <w:vAlign w:val="bottom"/>
          </w:tcPr>
          <w:p>
            <w:pPr>
              <w:spacing w:after="0"/>
              <w:rPr>
                <w:sz w:val="20"/>
                <w:szCs w:val="20"/>
                <w:color w:val="auto"/>
              </w:rPr>
            </w:pPr>
          </w:p>
        </w:tc>
        <w:tc>
          <w:tcPr>
            <w:tcW w:w="8340" w:type="dxa"/>
            <w:vAlign w:val="bottom"/>
          </w:tcPr>
          <w:p>
            <w:pPr>
              <w:jc w:val="center"/>
              <w:ind w:left="10"/>
              <w:spacing w:after="0"/>
              <w:rPr>
                <w:sz w:val="20"/>
                <w:szCs w:val="20"/>
                <w:color w:val="auto"/>
              </w:rPr>
            </w:pPr>
            <w:r>
              <w:rPr>
                <w:rFonts w:ascii="Arial" w:cs="Arial" w:eastAsia="Arial" w:hAnsi="Arial"/>
                <w:sz w:val="18"/>
                <w:szCs w:val="18"/>
                <w:b w:val="1"/>
                <w:bCs w:val="1"/>
                <w:color w:val="auto"/>
              </w:rPr>
              <w:t>Part II</w:t>
            </w:r>
          </w:p>
        </w:tc>
        <w:tc>
          <w:tcPr>
            <w:tcW w:w="1500" w:type="dxa"/>
            <w:vAlign w:val="bottom"/>
          </w:tcPr>
          <w:p>
            <w:pPr>
              <w:spacing w:after="0"/>
              <w:rPr>
                <w:sz w:val="20"/>
                <w:szCs w:val="20"/>
                <w:color w:val="auto"/>
              </w:rPr>
            </w:pPr>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Item 5.</w:t>
            </w:r>
          </w:p>
        </w:tc>
        <w:tc>
          <w:tcPr>
            <w:tcW w:w="8340" w:type="dxa"/>
            <w:vAlign w:val="bottom"/>
          </w:tcPr>
          <w:p>
            <w:pPr>
              <w:ind w:left="120"/>
              <w:spacing w:after="0"/>
              <w:rPr>
                <w:rFonts w:ascii="Arial" w:cs="Arial" w:eastAsia="Arial" w:hAnsi="Arial"/>
                <w:sz w:val="18"/>
                <w:szCs w:val="18"/>
                <w:u w:val="single" w:color="auto"/>
                <w:color w:val="0000FF"/>
                <w:w w:val="91"/>
              </w:rPr>
            </w:pPr>
            <w:hyperlink w:anchor="page43">
              <w:r>
                <w:rPr>
                  <w:rFonts w:ascii="Arial" w:cs="Arial" w:eastAsia="Arial" w:hAnsi="Arial"/>
                  <w:sz w:val="18"/>
                  <w:szCs w:val="18"/>
                  <w:u w:val="single" w:color="auto"/>
                  <w:color w:val="0000FF"/>
                  <w:w w:val="91"/>
                </w:rPr>
                <w:t>Market for Registrant's Common Equity, Related Stockholder Matters, and Issuer Purchases of Equity Securities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43">
              <w:r>
                <w:rPr>
                  <w:rFonts w:ascii="Arial" w:cs="Arial" w:eastAsia="Arial" w:hAnsi="Arial"/>
                  <w:sz w:val="18"/>
                  <w:szCs w:val="18"/>
                  <w:u w:val="single" w:color="auto"/>
                  <w:color w:val="0000FF"/>
                  <w:w w:val="89"/>
                </w:rPr>
                <w:t>42</w:t>
              </w:r>
            </w:hyperlink>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Item 6.</w:t>
            </w:r>
          </w:p>
        </w:tc>
        <w:tc>
          <w:tcPr>
            <w:tcW w:w="8340" w:type="dxa"/>
            <w:vAlign w:val="bottom"/>
          </w:tcPr>
          <w:p>
            <w:pPr>
              <w:ind w:left="1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Selected Consolidated Financial Data</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43</w:t>
              </w:r>
            </w:hyperlink>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Item 7.</w:t>
            </w:r>
          </w:p>
        </w:tc>
        <w:tc>
          <w:tcPr>
            <w:tcW w:w="8340" w:type="dxa"/>
            <w:vAlign w:val="bottom"/>
          </w:tcPr>
          <w:p>
            <w:pPr>
              <w:ind w:left="120"/>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Management's Discussion and Analysis of Financial Condition and Results of Operations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45</w:t>
              </w:r>
            </w:hyperlink>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Item 7A.</w:t>
            </w:r>
          </w:p>
        </w:tc>
        <w:tc>
          <w:tcPr>
            <w:tcW w:w="8340" w:type="dxa"/>
            <w:vAlign w:val="bottom"/>
          </w:tcPr>
          <w:p>
            <w:pPr>
              <w:ind w:left="120"/>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Quantitative and Qualitative Disclosures About Market Risk</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58</w:t>
              </w:r>
            </w:hyperlink>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Item 8.</w:t>
            </w:r>
          </w:p>
        </w:tc>
        <w:tc>
          <w:tcPr>
            <w:tcW w:w="8340" w:type="dxa"/>
            <w:vAlign w:val="bottom"/>
          </w:tcPr>
          <w:p>
            <w:pPr>
              <w:ind w:left="12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Financial Statements and Supplementary Data</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60">
              <w:r>
                <w:rPr>
                  <w:rFonts w:ascii="Arial" w:cs="Arial" w:eastAsia="Arial" w:hAnsi="Arial"/>
                  <w:sz w:val="18"/>
                  <w:szCs w:val="18"/>
                  <w:u w:val="single" w:color="auto"/>
                  <w:color w:val="0000FF"/>
                  <w:w w:val="89"/>
                </w:rPr>
                <w:t>60</w:t>
              </w:r>
            </w:hyperlink>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Item 9.</w:t>
            </w:r>
          </w:p>
        </w:tc>
        <w:tc>
          <w:tcPr>
            <w:tcW w:w="8340" w:type="dxa"/>
            <w:vAlign w:val="bottom"/>
          </w:tcPr>
          <w:p>
            <w:pPr>
              <w:ind w:left="12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Changes in and Disagreements with Accountants on Accounting and Financial Disclosure</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94">
              <w:r>
                <w:rPr>
                  <w:rFonts w:ascii="Arial" w:cs="Arial" w:eastAsia="Arial" w:hAnsi="Arial"/>
                  <w:sz w:val="18"/>
                  <w:szCs w:val="18"/>
                  <w:u w:val="single" w:color="auto"/>
                  <w:color w:val="0000FF"/>
                  <w:w w:val="89"/>
                </w:rPr>
                <w:t>93</w:t>
              </w:r>
            </w:hyperlink>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Item 9A.</w:t>
            </w:r>
          </w:p>
        </w:tc>
        <w:tc>
          <w:tcPr>
            <w:tcW w:w="8340" w:type="dxa"/>
            <w:vAlign w:val="bottom"/>
          </w:tcPr>
          <w:p>
            <w:pPr>
              <w:ind w:left="120"/>
              <w:spacing w:after="0"/>
              <w:rPr>
                <w:rFonts w:ascii="Arial" w:cs="Arial" w:eastAsia="Arial" w:hAnsi="Arial"/>
                <w:sz w:val="18"/>
                <w:szCs w:val="18"/>
                <w:u w:val="single" w:color="auto"/>
                <w:color w:val="0000FF"/>
              </w:rPr>
            </w:pPr>
            <w:hyperlink w:anchor="page94">
              <w:r>
                <w:rPr>
                  <w:rFonts w:ascii="Arial" w:cs="Arial" w:eastAsia="Arial" w:hAnsi="Arial"/>
                  <w:sz w:val="18"/>
                  <w:szCs w:val="18"/>
                  <w:u w:val="single" w:color="auto"/>
                  <w:color w:val="0000FF"/>
                </w:rPr>
                <w:t>Controls and Procedures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94">
              <w:r>
                <w:rPr>
                  <w:rFonts w:ascii="Arial" w:cs="Arial" w:eastAsia="Arial" w:hAnsi="Arial"/>
                  <w:sz w:val="18"/>
                  <w:szCs w:val="18"/>
                  <w:u w:val="single" w:color="auto"/>
                  <w:color w:val="0000FF"/>
                  <w:w w:val="89"/>
                </w:rPr>
                <w:t>93</w:t>
              </w:r>
            </w:hyperlink>
          </w:p>
        </w:tc>
      </w:tr>
      <w:tr>
        <w:trPr>
          <w:trHeight w:val="225"/>
        </w:trPr>
        <w:tc>
          <w:tcPr>
            <w:tcW w:w="1400" w:type="dxa"/>
            <w:vAlign w:val="bottom"/>
          </w:tcPr>
          <w:p>
            <w:pPr>
              <w:ind w:left="20"/>
              <w:spacing w:after="0"/>
              <w:rPr>
                <w:sz w:val="20"/>
                <w:szCs w:val="20"/>
                <w:color w:val="auto"/>
              </w:rPr>
            </w:pPr>
            <w:r>
              <w:rPr>
                <w:rFonts w:ascii="Arial" w:cs="Arial" w:eastAsia="Arial" w:hAnsi="Arial"/>
                <w:sz w:val="18"/>
                <w:szCs w:val="18"/>
                <w:color w:val="auto"/>
              </w:rPr>
              <w:t>Item 9B.</w:t>
            </w:r>
          </w:p>
        </w:tc>
        <w:tc>
          <w:tcPr>
            <w:tcW w:w="8340" w:type="dxa"/>
            <w:vAlign w:val="bottom"/>
          </w:tcPr>
          <w:p>
            <w:pPr>
              <w:ind w:left="12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Other Information</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95">
              <w:r>
                <w:rPr>
                  <w:rFonts w:ascii="Arial" w:cs="Arial" w:eastAsia="Arial" w:hAnsi="Arial"/>
                  <w:sz w:val="18"/>
                  <w:szCs w:val="18"/>
                  <w:u w:val="single" w:color="auto"/>
                  <w:color w:val="0000FF"/>
                  <w:w w:val="89"/>
                </w:rPr>
                <w:t>94</w:t>
              </w:r>
            </w:hyperlink>
          </w:p>
        </w:tc>
      </w:tr>
      <w:tr>
        <w:trPr>
          <w:trHeight w:val="233"/>
        </w:trPr>
        <w:tc>
          <w:tcPr>
            <w:tcW w:w="1400" w:type="dxa"/>
            <w:vAlign w:val="bottom"/>
          </w:tcPr>
          <w:p>
            <w:pPr>
              <w:spacing w:after="0"/>
              <w:rPr>
                <w:sz w:val="20"/>
                <w:szCs w:val="20"/>
                <w:color w:val="auto"/>
              </w:rPr>
            </w:pPr>
          </w:p>
        </w:tc>
        <w:tc>
          <w:tcPr>
            <w:tcW w:w="8340" w:type="dxa"/>
            <w:vAlign w:val="bottom"/>
          </w:tcPr>
          <w:p>
            <w:pPr>
              <w:jc w:val="center"/>
              <w:ind w:left="10"/>
              <w:spacing w:after="0"/>
              <w:rPr>
                <w:sz w:val="20"/>
                <w:szCs w:val="20"/>
                <w:color w:val="auto"/>
              </w:rPr>
            </w:pPr>
            <w:r>
              <w:rPr>
                <w:rFonts w:ascii="Arial" w:cs="Arial" w:eastAsia="Arial" w:hAnsi="Arial"/>
                <w:sz w:val="18"/>
                <w:szCs w:val="18"/>
                <w:b w:val="1"/>
                <w:bCs w:val="1"/>
                <w:color w:val="auto"/>
              </w:rPr>
              <w:t>Part III</w:t>
            </w:r>
          </w:p>
        </w:tc>
        <w:tc>
          <w:tcPr>
            <w:tcW w:w="1500" w:type="dxa"/>
            <w:vAlign w:val="bottom"/>
          </w:tcPr>
          <w:p>
            <w:pPr>
              <w:spacing w:after="0"/>
              <w:rPr>
                <w:sz w:val="20"/>
                <w:szCs w:val="20"/>
                <w:color w:val="auto"/>
              </w:rPr>
            </w:pP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Item 10.</w:t>
            </w:r>
          </w:p>
        </w:tc>
        <w:tc>
          <w:tcPr>
            <w:tcW w:w="8340" w:type="dxa"/>
            <w:vAlign w:val="bottom"/>
          </w:tcPr>
          <w:p>
            <w:pPr>
              <w:ind w:left="12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Directors, Executive Officers and Corporate Governance</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95">
              <w:r>
                <w:rPr>
                  <w:rFonts w:ascii="Arial" w:cs="Arial" w:eastAsia="Arial" w:hAnsi="Arial"/>
                  <w:sz w:val="18"/>
                  <w:szCs w:val="18"/>
                  <w:u w:val="single" w:color="auto"/>
                  <w:color w:val="0000FF"/>
                  <w:w w:val="89"/>
                </w:rPr>
                <w:t>94</w:t>
              </w:r>
            </w:hyperlink>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Item 11.</w:t>
            </w:r>
          </w:p>
        </w:tc>
        <w:tc>
          <w:tcPr>
            <w:tcW w:w="8340" w:type="dxa"/>
            <w:vAlign w:val="bottom"/>
          </w:tcPr>
          <w:p>
            <w:pPr>
              <w:ind w:left="12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Executive Compensation</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95">
              <w:r>
                <w:rPr>
                  <w:rFonts w:ascii="Arial" w:cs="Arial" w:eastAsia="Arial" w:hAnsi="Arial"/>
                  <w:sz w:val="18"/>
                  <w:szCs w:val="18"/>
                  <w:u w:val="single" w:color="auto"/>
                  <w:color w:val="0000FF"/>
                  <w:w w:val="89"/>
                </w:rPr>
                <w:t>94</w:t>
              </w:r>
            </w:hyperlink>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Item 12.</w:t>
            </w:r>
          </w:p>
        </w:tc>
        <w:tc>
          <w:tcPr>
            <w:tcW w:w="8340" w:type="dxa"/>
            <w:vAlign w:val="bottom"/>
          </w:tcPr>
          <w:p>
            <w:pPr>
              <w:ind w:left="12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Security Ownership of Certain Beneficial Owners and Management and Related Stockholder Matters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95">
              <w:r>
                <w:rPr>
                  <w:rFonts w:ascii="Arial" w:cs="Arial" w:eastAsia="Arial" w:hAnsi="Arial"/>
                  <w:sz w:val="18"/>
                  <w:szCs w:val="18"/>
                  <w:u w:val="single" w:color="auto"/>
                  <w:color w:val="0000FF"/>
                  <w:w w:val="89"/>
                </w:rPr>
                <w:t>94</w:t>
              </w:r>
            </w:hyperlink>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Item 13.</w:t>
            </w:r>
          </w:p>
        </w:tc>
        <w:tc>
          <w:tcPr>
            <w:tcW w:w="8340" w:type="dxa"/>
            <w:vAlign w:val="bottom"/>
          </w:tcPr>
          <w:p>
            <w:pPr>
              <w:ind w:left="12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Certain Relationships and Related Transactions, and Director Independence</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95">
              <w:r>
                <w:rPr>
                  <w:rFonts w:ascii="Arial" w:cs="Arial" w:eastAsia="Arial" w:hAnsi="Arial"/>
                  <w:sz w:val="18"/>
                  <w:szCs w:val="18"/>
                  <w:u w:val="single" w:color="auto"/>
                  <w:color w:val="0000FF"/>
                  <w:w w:val="89"/>
                </w:rPr>
                <w:t>94</w:t>
              </w:r>
            </w:hyperlink>
          </w:p>
        </w:tc>
      </w:tr>
      <w:tr>
        <w:trPr>
          <w:trHeight w:val="225"/>
        </w:trPr>
        <w:tc>
          <w:tcPr>
            <w:tcW w:w="1400" w:type="dxa"/>
            <w:vAlign w:val="bottom"/>
          </w:tcPr>
          <w:p>
            <w:pPr>
              <w:ind w:left="20"/>
              <w:spacing w:after="0"/>
              <w:rPr>
                <w:sz w:val="20"/>
                <w:szCs w:val="20"/>
                <w:color w:val="auto"/>
              </w:rPr>
            </w:pPr>
            <w:r>
              <w:rPr>
                <w:rFonts w:ascii="Arial" w:cs="Arial" w:eastAsia="Arial" w:hAnsi="Arial"/>
                <w:sz w:val="18"/>
                <w:szCs w:val="18"/>
                <w:color w:val="auto"/>
              </w:rPr>
              <w:t>Item 14.</w:t>
            </w:r>
          </w:p>
        </w:tc>
        <w:tc>
          <w:tcPr>
            <w:tcW w:w="8340" w:type="dxa"/>
            <w:vAlign w:val="bottom"/>
          </w:tcPr>
          <w:p>
            <w:pPr>
              <w:ind w:left="12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Principal Accountant Fees and Services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95">
              <w:r>
                <w:rPr>
                  <w:rFonts w:ascii="Arial" w:cs="Arial" w:eastAsia="Arial" w:hAnsi="Arial"/>
                  <w:sz w:val="18"/>
                  <w:szCs w:val="18"/>
                  <w:u w:val="single" w:color="auto"/>
                  <w:color w:val="0000FF"/>
                  <w:w w:val="89"/>
                </w:rPr>
                <w:t>94</w:t>
              </w:r>
            </w:hyperlink>
          </w:p>
        </w:tc>
      </w:tr>
      <w:tr>
        <w:trPr>
          <w:trHeight w:val="234"/>
        </w:trPr>
        <w:tc>
          <w:tcPr>
            <w:tcW w:w="1400" w:type="dxa"/>
            <w:vAlign w:val="bottom"/>
          </w:tcPr>
          <w:p>
            <w:pPr>
              <w:spacing w:after="0"/>
              <w:rPr>
                <w:sz w:val="20"/>
                <w:szCs w:val="20"/>
                <w:color w:val="auto"/>
              </w:rPr>
            </w:pPr>
          </w:p>
        </w:tc>
        <w:tc>
          <w:tcPr>
            <w:tcW w:w="8340" w:type="dxa"/>
            <w:vAlign w:val="bottom"/>
          </w:tcPr>
          <w:p>
            <w:pPr>
              <w:jc w:val="center"/>
              <w:spacing w:after="0"/>
              <w:rPr>
                <w:sz w:val="20"/>
                <w:szCs w:val="20"/>
                <w:color w:val="auto"/>
              </w:rPr>
            </w:pPr>
            <w:r>
              <w:rPr>
                <w:rFonts w:ascii="Arial" w:cs="Arial" w:eastAsia="Arial" w:hAnsi="Arial"/>
                <w:sz w:val="18"/>
                <w:szCs w:val="18"/>
                <w:b w:val="1"/>
                <w:bCs w:val="1"/>
                <w:color w:val="auto"/>
              </w:rPr>
              <w:t>Part IV</w:t>
            </w:r>
          </w:p>
        </w:tc>
        <w:tc>
          <w:tcPr>
            <w:tcW w:w="1500" w:type="dxa"/>
            <w:vAlign w:val="bottom"/>
          </w:tcPr>
          <w:p>
            <w:pPr>
              <w:spacing w:after="0"/>
              <w:rPr>
                <w:sz w:val="20"/>
                <w:szCs w:val="20"/>
                <w:color w:val="auto"/>
              </w:rPr>
            </w:pPr>
          </w:p>
        </w:tc>
      </w:tr>
      <w:tr>
        <w:trPr>
          <w:trHeight w:val="229"/>
        </w:trPr>
        <w:tc>
          <w:tcPr>
            <w:tcW w:w="1400" w:type="dxa"/>
            <w:vAlign w:val="bottom"/>
          </w:tcPr>
          <w:p>
            <w:pPr>
              <w:ind w:left="20"/>
              <w:spacing w:after="0"/>
              <w:rPr>
                <w:sz w:val="20"/>
                <w:szCs w:val="20"/>
                <w:color w:val="auto"/>
              </w:rPr>
            </w:pPr>
            <w:r>
              <w:rPr>
                <w:rFonts w:ascii="Arial" w:cs="Arial" w:eastAsia="Arial" w:hAnsi="Arial"/>
                <w:sz w:val="18"/>
                <w:szCs w:val="18"/>
                <w:color w:val="auto"/>
              </w:rPr>
              <w:t>Item 15.</w:t>
            </w:r>
          </w:p>
        </w:tc>
        <w:tc>
          <w:tcPr>
            <w:tcW w:w="8340" w:type="dxa"/>
            <w:vAlign w:val="bottom"/>
          </w:tcPr>
          <w:p>
            <w:pPr>
              <w:ind w:left="120"/>
              <w:spacing w:after="0"/>
              <w:rPr>
                <w:rFonts w:ascii="Arial" w:cs="Arial" w:eastAsia="Arial" w:hAnsi="Arial"/>
                <w:sz w:val="18"/>
                <w:szCs w:val="18"/>
                <w:u w:val="single" w:color="auto"/>
                <w:color w:val="0000FF"/>
              </w:rPr>
            </w:pPr>
            <w:hyperlink w:anchor="page95">
              <w:r>
                <w:rPr>
                  <w:rFonts w:ascii="Arial" w:cs="Arial" w:eastAsia="Arial" w:hAnsi="Arial"/>
                  <w:sz w:val="18"/>
                  <w:szCs w:val="18"/>
                  <w:u w:val="single" w:color="auto"/>
                  <w:color w:val="0000FF"/>
                </w:rPr>
                <w:t>Exhibits, Financial Statement Schedules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95">
              <w:r>
                <w:rPr>
                  <w:rFonts w:ascii="Arial" w:cs="Arial" w:eastAsia="Arial" w:hAnsi="Arial"/>
                  <w:sz w:val="18"/>
                  <w:szCs w:val="18"/>
                  <w:u w:val="single" w:color="auto"/>
                  <w:color w:val="0000FF"/>
                  <w:w w:val="89"/>
                </w:rPr>
                <w:t>94</w:t>
              </w:r>
            </w:hyperlink>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Item 16.</w:t>
            </w:r>
          </w:p>
        </w:tc>
        <w:tc>
          <w:tcPr>
            <w:tcW w:w="8340" w:type="dxa"/>
            <w:vAlign w:val="bottom"/>
          </w:tcPr>
          <w:p>
            <w:pPr>
              <w:ind w:left="120"/>
              <w:spacing w:after="0"/>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Form 10-K Summary</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98">
              <w:r>
                <w:rPr>
                  <w:rFonts w:ascii="Arial" w:cs="Arial" w:eastAsia="Arial" w:hAnsi="Arial"/>
                  <w:sz w:val="18"/>
                  <w:szCs w:val="18"/>
                  <w:u w:val="single" w:color="auto"/>
                  <w:color w:val="0000FF"/>
                  <w:w w:val="89"/>
                </w:rPr>
                <w:t>97</w:t>
              </w:r>
            </w:hyperlink>
          </w:p>
        </w:tc>
      </w:tr>
      <w:tr>
        <w:trPr>
          <w:trHeight w:val="230"/>
        </w:trPr>
        <w:tc>
          <w:tcPr>
            <w:tcW w:w="1400" w:type="dxa"/>
            <w:vAlign w:val="bottom"/>
          </w:tcPr>
          <w:p>
            <w:pPr>
              <w:spacing w:after="0"/>
              <w:rPr>
                <w:sz w:val="20"/>
                <w:szCs w:val="20"/>
                <w:color w:val="auto"/>
              </w:rPr>
            </w:pPr>
          </w:p>
        </w:tc>
        <w:tc>
          <w:tcPr>
            <w:tcW w:w="8340" w:type="dxa"/>
            <w:vAlign w:val="bottom"/>
          </w:tcPr>
          <w:p>
            <w:pPr>
              <w:ind w:left="120"/>
              <w:spacing w:after="0"/>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Signatures</w:t>
              </w:r>
            </w:hyperlink>
          </w:p>
        </w:tc>
        <w:tc>
          <w:tcPr>
            <w:tcW w:w="1500" w:type="dxa"/>
            <w:vAlign w:val="bottom"/>
          </w:tcPr>
          <w:p>
            <w:pPr>
              <w:jc w:val="center"/>
              <w:spacing w:after="0"/>
              <w:rPr>
                <w:rFonts w:ascii="Arial" w:cs="Arial" w:eastAsia="Arial" w:hAnsi="Arial"/>
                <w:sz w:val="18"/>
                <w:szCs w:val="18"/>
                <w:u w:val="single" w:color="auto"/>
                <w:color w:val="0000FF"/>
                <w:w w:val="89"/>
              </w:rPr>
            </w:pPr>
            <w:hyperlink w:anchor="page99">
              <w:r>
                <w:rPr>
                  <w:rFonts w:ascii="Arial" w:cs="Arial" w:eastAsia="Arial" w:hAnsi="Arial"/>
                  <w:sz w:val="18"/>
                  <w:szCs w:val="18"/>
                  <w:u w:val="single" w:color="auto"/>
                  <w:color w:val="0000FF"/>
                  <w:w w:val="89"/>
                </w:rPr>
                <w:t>98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including our statements regarding the benefits and timing of the roll 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Forward-looking statements contained in this Annual Report on Form 10-K include, but are not limited to, statements about: our future financial performance, including our revenue, cost of revenue, gross profit, margins, and operating expenses; trends in our key business metrics; the sufficiency of our cash and cash equivalents, investments, and cash provided by sales of our products and services to meet our liquidity needs; market trends; our market position and opportunity; our growth strategy and business aspirations for our video-first unified communications platform; our product strategy; our efforts to enhance the security and privacy of our platform; the potential impacts of the COVID-19 pandemic and related public health measures on our business, the business of our customers, suppliers, and channel partners, and the economy; our ability to become the ubiquitous platform for communications; our ability to attract new customers and retain existing customers; our ability to successfully expand into our existing markets and into new markets; our ability to effectively manage our growth and future expenses; and the impact of recent accounting pronouncements on our consolidated financial statements.</w:t>
      </w:r>
    </w:p>
    <w:p>
      <w:pPr>
        <w:spacing w:after="0" w:line="7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on information available to us as of the date of this Annual Report on Form 10-K.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8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You should read this Annual Report on Form 10-K and the documents that we reference in this Annual Report on Form 10-K and have filed with the Securities and Exchange Commission as exhibits to this Annual Report on Form 10-K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Investing in our Class A common stock involves numerous risks, including the risks described in “Risk Factors” below. Below are some of these risks, any one of which could materially adversely affect our business, financial condition, results of operations, and prospects.</w:t>
      </w:r>
    </w:p>
    <w:p>
      <w:pPr>
        <w:spacing w:after="0" w:line="62" w:lineRule="exact"/>
        <w:rPr>
          <w:sz w:val="20"/>
          <w:szCs w:val="20"/>
          <w:color w:val="auto"/>
        </w:rPr>
      </w:pPr>
    </w:p>
    <w:p>
      <w:pPr>
        <w:ind w:left="66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38" w:lineRule="exact"/>
        <w:rPr>
          <w:rFonts w:ascii="Arial" w:cs="Arial" w:eastAsia="Arial" w:hAnsi="Arial"/>
          <w:sz w:val="17"/>
          <w:szCs w:val="17"/>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Beginning in the fiscal quarter ended April 30, 2020, we faced unprecedented usage of our video-first unified communications platform largely due to the COVID-19 pandemic. We expect our user growth rate to slow or decline once the impact of the COVID-19 pandemic tapers, particularly as a vaccine becomes widely available, and users return to work or school or are otherwise no longer subject to shelter-in-place mandates;</w:t>
      </w:r>
    </w:p>
    <w:p>
      <w:pPr>
        <w:spacing w:after="0" w:line="78"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competitive markets, and we must continue to compete effectively;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not be able to sustain our revenue growth rate in the future, and we expect our revenue growth rate to generally decline in future periods;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results may fluctuate significantly and may not fully reflect the underlying performance of our business;</w:t>
      </w:r>
    </w:p>
    <w:p>
      <w:pPr>
        <w:spacing w:after="0" w:line="117"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we increase sales to large organizations, our sales cycles could lengthen, and we could experience greater deployment challenges;</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generate revenue from sales of subscriptions to our platform, and any decline in demand for our platform or for communications and collaboration technologies in general would harm our business;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experienced net losses in the past, and we expect to increase our expenses in the future, which could prevent us from maintaining profitability;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respond to rapid technological changes, extend our platform or develop new features;</w:t>
      </w:r>
    </w:p>
    <w:p>
      <w:pPr>
        <w:spacing w:after="0" w:line="117"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49"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at the current scale of our business, which makes it difficult to evaluate our prospects and future results of operations;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significant and expanding operations outside the United States, which may subject us to increased business, regulatory and economic risks that could harm our business;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mission is to make video communications frictionless and secure.</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provide a video-first unified communications platform that delivers happiness and fundamentally changes how people interact. We connect people through frictionless and secure video, phone, chat, and content sharing and enable face-to-face video experiences for thousands of people in a single meeting across disparate devices and locations. Our cloud-native platform delivers reliable, high-quality video and voice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w:t>
      </w:r>
    </w:p>
    <w:p>
      <w:pPr>
        <w:spacing w:after="0" w:line="8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cornerstone of our platform is Zoom Meetings, around which we provide a full suite of products and features designed to give users an easy, reliable, and innovative unified communications experience. Users are comprised of both hosts who organize video meetings and the individual attendees who participate in those video meetings. In 2019, we launched Zoom Phone, a cloud-based PBX system, creating a unique unified communications platform. Many customers also choose to implement Zoom Rooms, our software-based conference room system, which enables users to easily experience Zoom Meetings in their physical meeting spaces. Our partner ecosystem, which includes App Marketplace and in-product apps, and developer platform help enterprises create elevated experiences with third-party applications to create customized workflows.</w:t>
      </w:r>
    </w:p>
    <w:p>
      <w:pPr>
        <w:spacing w:after="0" w:line="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happiness we bring is recognized by customers. Zoom has consistently high scores across customer review sites, including Gartner Peer Insights, TrustRadius, and G2 Crowd, including being recognized as a 2020 Gartner Peer Insights Customers’ Choice for Meeting Solutions and a TrustRadius Top Rated Web Conferencing Software. Industry analysts also recognize our market leadership: Gartner has named Zoom a Leader in its Magic Quadrant for Meeting Solutions based on our “ability to execute” and “completeness of vision.” In 2020 we also became a Leader in the Gartner Magic Quadrant for UCaaS. Frost &amp; Sullivan recognized Zoom with its Global Connected Work Company of the Year award in 2020, as well as awards for Global Video Communications in The COVID-19 Crisis Enabling Technology Leadership, Asia-Pacific Cloud Video Collaboration Services Company of The Year, and Indian Cloud Video Enabling Technology Leadership.</w:t>
      </w:r>
    </w:p>
    <w:p>
      <w:pPr>
        <w:spacing w:after="0" w:line="6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have a unique model that combines viral enthusiasm for our platform with a multipronged go-to-market strategy for optimal efficiency. Viral enthusiasm begins with our users as they experience our platform – it just works.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focus on the following elements of our strategy to drive our growth:</w:t>
      </w:r>
    </w:p>
    <w:p>
      <w:pPr>
        <w:spacing w:after="0" w:line="113" w:lineRule="exact"/>
        <w:rPr>
          <w:sz w:val="20"/>
          <w:szCs w:val="20"/>
          <w:color w:val="auto"/>
        </w:rPr>
      </w:pPr>
    </w:p>
    <w:p>
      <w:pPr>
        <w:jc w:val="both"/>
        <w:ind w:left="1140" w:hanging="646"/>
        <w:spacing w:after="0" w:line="314" w:lineRule="auto"/>
        <w:tabs>
          <w:tab w:leader="none" w:pos="113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Keep our existing customers happy. </w:t>
      </w:r>
      <w:r>
        <w:rPr>
          <w:rFonts w:ascii="Arial" w:cs="Arial" w:eastAsia="Arial" w:hAnsi="Arial"/>
          <w:sz w:val="16"/>
          <w:szCs w:val="16"/>
          <w:color w:val="auto"/>
        </w:rPr>
        <w:t>We provide happiness to our customers by giving them an experience that delights them. We respond</w:t>
      </w:r>
      <w:r>
        <w:rPr>
          <w:rFonts w:ascii="Arial" w:cs="Arial" w:eastAsia="Arial" w:hAnsi="Arial"/>
          <w:sz w:val="16"/>
          <w:szCs w:val="16"/>
          <w:b w:val="1"/>
          <w:bCs w:val="1"/>
          <w:color w:val="auto"/>
        </w:rPr>
        <w:t xml:space="preserve"> </w:t>
      </w:r>
      <w:r>
        <w:rPr>
          <w:rFonts w:ascii="Arial" w:cs="Arial" w:eastAsia="Arial" w:hAnsi="Arial"/>
          <w:sz w:val="16"/>
          <w:szCs w:val="16"/>
          <w:color w:val="auto"/>
        </w:rPr>
        <w:t>to customer needs with action to drive positive user experiences. We believe these practices result in our high scores across customer review sites and will continue to generate referrals from our existing customers, providing meaningful viral adoption for the foreseeable future.</w:t>
      </w:r>
    </w:p>
    <w:p>
      <w:pPr>
        <w:spacing w:after="0" w:line="33" w:lineRule="exact"/>
        <w:rPr>
          <w:rFonts w:ascii="Arial" w:cs="Arial" w:eastAsia="Arial" w:hAnsi="Arial"/>
          <w:sz w:val="16"/>
          <w:szCs w:val="16"/>
          <w:color w:val="auto"/>
        </w:rPr>
      </w:pPr>
    </w:p>
    <w:p>
      <w:pPr>
        <w:jc w:val="both"/>
        <w:ind w:left="1140" w:hanging="646"/>
        <w:spacing w:after="0" w:line="277" w:lineRule="auto"/>
        <w:tabs>
          <w:tab w:leader="none" w:pos="1135"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Drive new customer acquisition. </w:t>
      </w:r>
      <w:r>
        <w:rPr>
          <w:rFonts w:ascii="Arial" w:cs="Arial" w:eastAsia="Arial" w:hAnsi="Arial"/>
          <w:sz w:val="17"/>
          <w:szCs w:val="17"/>
          <w:color w:val="auto"/>
        </w:rPr>
        <w:t>Our platform is designed to make it easy to host meetings. By attracting free hosts to use our platform,</w:t>
      </w:r>
      <w:r>
        <w:rPr>
          <w:rFonts w:ascii="Arial" w:cs="Arial" w:eastAsia="Arial" w:hAnsi="Arial"/>
          <w:sz w:val="17"/>
          <w:szCs w:val="17"/>
          <w:b w:val="1"/>
          <w:bCs w:val="1"/>
          <w:color w:val="auto"/>
        </w:rPr>
        <w:t xml:space="preserve"> </w:t>
      </w:r>
      <w:r>
        <w:rPr>
          <w:rFonts w:ascii="Arial" w:cs="Arial" w:eastAsia="Arial" w:hAnsi="Arial"/>
          <w:sz w:val="17"/>
          <w:szCs w:val="17"/>
          <w:color w:val="auto"/>
        </w:rPr>
        <w:t>we promote usage that allows hosts and their meeting attendees to experience the difference of Zoom.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59" w:lineRule="exact"/>
        <w:rPr>
          <w:rFonts w:ascii="Arial" w:cs="Arial" w:eastAsia="Arial" w:hAnsi="Arial"/>
          <w:sz w:val="17"/>
          <w:szCs w:val="17"/>
          <w:color w:val="auto"/>
        </w:rPr>
      </w:pPr>
    </w:p>
    <w:p>
      <w:pPr>
        <w:jc w:val="both"/>
        <w:ind w:left="1140" w:hanging="646"/>
        <w:spacing w:after="0" w:line="303" w:lineRule="auto"/>
        <w:tabs>
          <w:tab w:leader="none" w:pos="113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Expand within existing customers. </w:t>
      </w:r>
      <w:r>
        <w:rPr>
          <w:rFonts w:ascii="Arial" w:cs="Arial" w:eastAsia="Arial" w:hAnsi="Arial"/>
          <w:sz w:val="16"/>
          <w:szCs w:val="16"/>
          <w:color w:val="auto"/>
        </w:rPr>
        <w:t>As organizations experience our video platform and become familiar with its benefits, more teams and</w:t>
      </w:r>
      <w:r>
        <w:rPr>
          <w:rFonts w:ascii="Arial" w:cs="Arial" w:eastAsia="Arial" w:hAnsi="Arial"/>
          <w:sz w:val="16"/>
          <w:szCs w:val="16"/>
          <w:b w:val="1"/>
          <w:bCs w:val="1"/>
          <w:color w:val="auto"/>
        </w:rPr>
        <w:t xml:space="preserve"> </w:t>
      </w:r>
      <w:r>
        <w:rPr>
          <w:rFonts w:ascii="Arial" w:cs="Arial" w:eastAsia="Arial" w:hAnsi="Arial"/>
          <w:sz w:val="16"/>
          <w:szCs w:val="16"/>
          <w:color w:val="auto"/>
        </w:rPr>
        <w:t>departments within these organizations adopt Zoom. Our platform may begin in a line of business and then organically expand across departments. This “land and expand” model has led to some of our largest deployments. Customers are also purchasing services for webinars, room solutions, and phone for the full Zoom Unified Communications as a Service (“UCaaS”) experience.</w:t>
      </w:r>
    </w:p>
    <w:p>
      <w:pPr>
        <w:spacing w:after="0" w:line="42" w:lineRule="exact"/>
        <w:rPr>
          <w:rFonts w:ascii="Arial" w:cs="Arial" w:eastAsia="Arial" w:hAnsi="Arial"/>
          <w:sz w:val="16"/>
          <w:szCs w:val="16"/>
          <w:color w:val="auto"/>
        </w:rPr>
      </w:pPr>
    </w:p>
    <w:p>
      <w:pPr>
        <w:ind w:left="1140" w:hanging="646"/>
        <w:spacing w:after="0" w:line="282" w:lineRule="auto"/>
        <w:tabs>
          <w:tab w:leader="none" w:pos="113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Innovate our platform continuously. </w:t>
      </w:r>
      <w:r>
        <w:rPr>
          <w:rFonts w:ascii="Arial" w:cs="Arial" w:eastAsia="Arial" w:hAnsi="Arial"/>
          <w:sz w:val="18"/>
          <w:szCs w:val="18"/>
          <w:color w:val="auto"/>
        </w:rPr>
        <w:t>Our engineers aim to stay on the cutting edge of video communication and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technologies. We strive to deliver the best experience to our users by dedicating a portion of</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engineering capacity to developing on-demand, customer-requested features that would be valuable across our customer base.</w:t>
      </w:r>
    </w:p>
    <w:p>
      <w:pPr>
        <w:spacing w:after="0" w:line="113" w:lineRule="exact"/>
        <w:rPr>
          <w:sz w:val="20"/>
          <w:szCs w:val="20"/>
          <w:color w:val="auto"/>
        </w:rPr>
      </w:pPr>
    </w:p>
    <w:p>
      <w:pPr>
        <w:jc w:val="both"/>
        <w:ind w:left="1140" w:hanging="646"/>
        <w:spacing w:after="0" w:line="314" w:lineRule="auto"/>
        <w:tabs>
          <w:tab w:leader="none" w:pos="1135"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Accelerate international expansion. </w:t>
      </w:r>
      <w:r>
        <w:rPr>
          <w:rFonts w:ascii="Arial" w:cs="Arial" w:eastAsia="Arial" w:hAnsi="Arial"/>
          <w:sz w:val="16"/>
          <w:szCs w:val="16"/>
          <w:color w:val="auto"/>
        </w:rPr>
        <w:t>With users, offices, and data centers strategically located around the world, we are poised to reach</w:t>
      </w:r>
      <w:r>
        <w:rPr>
          <w:rFonts w:ascii="Arial" w:cs="Arial" w:eastAsia="Arial" w:hAnsi="Arial"/>
          <w:sz w:val="16"/>
          <w:szCs w:val="16"/>
          <w:b w:val="1"/>
          <w:bCs w:val="1"/>
          <w:color w:val="auto"/>
        </w:rPr>
        <w:t xml:space="preserve"> </w:t>
      </w:r>
      <w:r>
        <w:rPr>
          <w:rFonts w:ascii="Arial" w:cs="Arial" w:eastAsia="Arial" w:hAnsi="Arial"/>
          <w:sz w:val="16"/>
          <w:szCs w:val="16"/>
          <w:color w:val="auto"/>
        </w:rPr>
        <w:t>new customers globally. Our platform is intuitively designed such that localization requirements are minimal. For example, our platform works without intensive translation requirements with only a few language adjustments to our user interface and support systems.</w:t>
      </w:r>
    </w:p>
    <w:p>
      <w:pPr>
        <w:spacing w:after="0" w:line="33" w:lineRule="exact"/>
        <w:rPr>
          <w:rFonts w:ascii="Arial" w:cs="Arial" w:eastAsia="Arial" w:hAnsi="Arial"/>
          <w:sz w:val="16"/>
          <w:szCs w:val="16"/>
          <w:color w:val="auto"/>
        </w:rPr>
      </w:pPr>
    </w:p>
    <w:p>
      <w:pPr>
        <w:jc w:val="both"/>
        <w:ind w:left="1140" w:hanging="646"/>
        <w:spacing w:after="0" w:line="256" w:lineRule="auto"/>
        <w:tabs>
          <w:tab w:leader="none" w:pos="113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Grow our partnership ecosystem and continue to expand our platform. </w:t>
      </w:r>
      <w:r>
        <w:rPr>
          <w:rFonts w:ascii="Arial" w:cs="Arial" w:eastAsia="Arial" w:hAnsi="Arial"/>
          <w:sz w:val="18"/>
          <w:szCs w:val="18"/>
          <w:color w:val="auto"/>
        </w:rPr>
        <w:t>Our platform integrates easily with other systems and tools. We</w:t>
      </w:r>
      <w:r>
        <w:rPr>
          <w:rFonts w:ascii="Arial" w:cs="Arial" w:eastAsia="Arial" w:hAnsi="Arial"/>
          <w:sz w:val="18"/>
          <w:szCs w:val="18"/>
          <w:b w:val="1"/>
          <w:bCs w:val="1"/>
          <w:color w:val="auto"/>
        </w:rPr>
        <w:t xml:space="preserve"> </w:t>
      </w:r>
      <w:r>
        <w:rPr>
          <w:rFonts w:ascii="Arial" w:cs="Arial" w:eastAsia="Arial" w:hAnsi="Arial"/>
          <w:sz w:val="18"/>
          <w:szCs w:val="18"/>
          <w:color w:val="auto"/>
        </w:rPr>
        <w:t>enable developers to embed our platform into their own offerings through open application program interfaces (“APIs”) and our cross-platform software development kits (“SDKs”). We have already partnered with several hardware video conferencing and peripheral providers and with software providers, including Atlassian and Dropbox. Third-party developers are able to engage with the Zoom App Marketplace and Zoom Developer Platform to extend the value and adoption of Zoom with our customers through the development of public and private apps and integrations.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provide a unified communications platform that delivers happiness and fundamentally changes how people interact, connecting them through frictionless and secure video, phone, chat, and content sharing. Our core products include Zoom Meetings, Zoom Phone, Zoom Chat, Zoom Rooms, Zoom Conference Room Connector, Zoom Video Webinars, Zoom Developer Platform, and Zoom App Marketplace.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Zoom Meetings</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Zoom Meetings provide HD video, voice, chat, and content sharing across mobile devices, desktops, laptops, telephones, and conference room systems. Our architecture can support up to one thousand video participants in a single meeting. Conversations can be one to one, one to many, or many to many. Zoom Meetings feature 49-person video gallery view, virtual backgrounds, MP4/M4A cloud/local recording with transcripts, video breakout rooms, screen sharing with annotation, and integrations with other powerful business applications to help teams get more done together. Zoom Meetings integrate with tools created by companies such as Atlassian, Dropbox, Google, LinkedIn, Microsoft, Salesforce, and Slack. Our meetings are a flexible tool for on-the-go employees who rely on their mobile device or tablet throughout their business day.</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An end-to-end encryption (“E2EE”) option is now available to free and paid Zoom customers globally who host meetings with up to 200 participants. Zoom’s E2EE uses the same AES-256-GCM encryption that secures Zoom meetings by default, but with Zoom’s new E2EE, the meeting host generates encryption keys and uses public key cryptography to distribute these keys to the other meeting participants.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Zoom Phone</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Zoom Phone is an enterprise cloud phone system that provides powerful private branch exchange (“PBX”) features, such as secure call routing, call queuing, call detail reports, call recording, call quality monitoring, voicemail, switch to video, and much more. Available stand alone, or as an optional add-on to Zoom Meetings, Zoom Phone is a core component of our modern video-first UCaaS strategy that enables customers to replace their existing PBX solution and consolidate all of their business communications and collaboration requirements onto Zoom.</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Zoom Phone provides inbound and outbound calling via its support for native connectivity to the public switched telephone network (“PSTN”). In the fiscal year ended January 31, 2021, Zoom Phone provided native PSTN connectivity in 44 countries and territories including Australia, Canada, Ireland, New Zealand, Puerto Rico, United Kingdom (“U.K.”), and the United States (“U.S.”).</w:t>
      </w:r>
    </w:p>
    <w:p>
      <w:pPr>
        <w:spacing w:after="0" w:line="7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Zoom Phone also supports Premise Peering and Cloud Peering, which provide enterprise customers with the flexibility of keeping their current PSTN service providers by redirecting existing third-party voice circuits to the Zoom Phone cloud. Hybrid connectivity is also supported, allowing customers to mix native Zoom Phone Calling Plans and third-party voice circuits. This unique capability allows customers to enjoy all of the benefits and features of Zoom Phone while keeping their existing service provider contracts, phone numbers, and calling rates with their preferred carrier of record.</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Zoom Chat</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Zoom Chat, which is included in the Zoom client for meeting and phone customers, enables organizations and teams to communicate and collaborate in groups, channels, or 1-1s and to stay connected by instantly sharing messages, images, audio files, and other content across desktop, laptop, tablet, and mobile devices. With Zoom Chat users can easily invite people outside a user’s organization to a chat conversation, and users can quickly switch from a chat to a phone call or video meeting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a conversation. Zoom Chat also features content storage for users who want discoverability and the ability to review their conversations or shared files. There are dozens of Zoom Chat compatible applications available in the Zoom App Marketplace that provide notifications and improved workflow for other enterprise systems.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Zoom Rooms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Zoom Rooms is our software-based conference room system that transforms every room–from executive offices, huddle rooms, training rooms, to broadcast studios–into a collaboration space that is easy to use, simple to deploy, and effortless to manage. Designed to increase workforce collaboration across in-room and virtual participants, Zoom Rooms bring one-click to join meetings, wireless multi-sharing, interactive whiteboarding, and intuitive room controls for a frictionless and secure Zoom Meeting experience. Zoom Rooms can leverage purpose-built hardware, such as Zoom Rooms Appliances, for a turnkey deployment, or customize room builds with Zoom’s open hardware ecosystem and professional audio/visual equipment, enabling organizations to build video conference rooms for any use case.</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auto"/>
        </w:rPr>
        <w:t xml:space="preserve">Zoom Rooms Scheduling Display </w:t>
      </w:r>
      <w:r>
        <w:rPr>
          <w:rFonts w:ascii="Arial" w:cs="Arial" w:eastAsia="Arial" w:hAnsi="Arial"/>
          <w:sz w:val="18"/>
          <w:szCs w:val="18"/>
          <w:color w:val="auto"/>
        </w:rPr>
        <w:t>helps meet the needs of the agile office by delivering simple, on-the-fly room booking and room utilization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through a calendaring system. With a single Zoom Rooms license, customers get unlimited access to this service, requiring only an iOS or Android touch display outside their rooms.</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i w:val="1"/>
          <w:iCs w:val="1"/>
          <w:color w:val="auto"/>
        </w:rPr>
        <w:t xml:space="preserve">Zoom Rooms Digital Signage </w:t>
      </w:r>
      <w:r>
        <w:rPr>
          <w:rFonts w:ascii="Arial" w:cs="Arial" w:eastAsia="Arial" w:hAnsi="Arial"/>
          <w:sz w:val="17"/>
          <w:szCs w:val="17"/>
          <w:color w:val="auto"/>
        </w:rPr>
        <w:t>leverages displays, in and out of conference rooms, to project image, video, and URL content playlists. Included as</w:t>
      </w:r>
      <w:r>
        <w:rPr>
          <w:rFonts w:ascii="Arial" w:cs="Arial" w:eastAsia="Arial" w:hAnsi="Arial"/>
          <w:sz w:val="17"/>
          <w:szCs w:val="17"/>
          <w:i w:val="1"/>
          <w:iCs w:val="1"/>
          <w:color w:val="auto"/>
        </w:rPr>
        <w:t xml:space="preserve"> </w:t>
      </w:r>
      <w:r>
        <w:rPr>
          <w:rFonts w:ascii="Arial" w:cs="Arial" w:eastAsia="Arial" w:hAnsi="Arial"/>
          <w:sz w:val="17"/>
          <w:szCs w:val="17"/>
          <w:color w:val="auto"/>
        </w:rPr>
        <w:t>part of Zoom Rooms, role-based admins can easily manage unlimited Digital Signage content and displays through the Zoom Admin Portal and remotely control the content displayed across screens for corporate communications, internal marketing, branding, and more.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Zoom Conference Room Connector</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Zoom Conference Room Connector is a gateway for SIP/H.323 endpoints to join Zoom meetings. For organizations that use SIP/H.323 conference room systems from providers, such as Poly and Cisco, Zoom’s Conference Room Connector can take these traditional hardware video conferencing systems to the cloud, allowing users to leverage their existing investments while taking advantage of the Zoom platform. As organizations transition from legacy hardware-based conference rooms to software-based Zoom Rooms, IT administrators save cost on layers of service, maintenance, and support contracts and bridge their endpoints with Zoom Conference Room Connector. With the cost-savings, organizations can reinvest in video-enabling more rooms and continue to leverage their existing SIP/H.323 endpoints with a consistent, cloud-based experience across all their rooms.</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Zoom Video Webinars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Zoom Video Webinars support interactive video presentations to large audiences from almost anywhere in the world and from many devices. Zoom webinars scale up to 50,000 people including up to 100 interactive video panelists. With webinars, hosts have control over the video viewing experience and attendees join to listen, learn and interact using chat, Q&amp;A, live polling and more. Our powerful third-party integrations help users maximize usage of their webinars and expand capabilities with paid registration, marketing automation, lead nurturing and learning management.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Zoom Developer Platform and Zoom App Marketplace</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Zoom Developer Platform allows developers to integrate our video, phone, chat, and content sharing into other applications, as well as manage Zoom accounts from any system, with full access to their usage and network metrics data. With our SDKs, APIs and webhooks, Zoom, third-party developers, and partners build applications that integrate our platform with other cloud services. Our customers can also develop highly customizable private applications that integrate Zoom into their systems. Our rich toolbox of extensible APIs, cross-platform SDKs, and MobileRTC powered an average of more than 1.6 billion API engagements per month for calendar year 2020.</w:t>
      </w:r>
    </w:p>
    <w:p>
      <w:pPr>
        <w:spacing w:after="0" w:line="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App Marketplace brings together these integrations built by Zoom and third-party developers, making it easy for developers to publish their apps and for customers to enhance their Zoom experience with new functionalities. We fully vet apps in our marketplace for security and user experience. Zoom App Marketplace features apps and bots with services such as Salesforce, Microsoft Teams, and Google, as well as deep product integrations with Dropbox, Box, Atlassian, and Marketo.</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OnZoom and Zoom Apps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recently announced two additions to the Zoom platform: OnZoom and Zoom Apps. OnZoom is a new platform for Zoom users to create, host, and monetize online events. OnZoom is an extension of Zoom’s unified communications platform with robust monetization (ticketing and fundraising) and simpler event management capabilities. OnZoom is currently offered as a public beta for U.S. users to host and attend online events. Zoom Apps are a new app type coming soon to the Zoom App</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Marketplace. These in-product integrations will be accessible directly from Zoom Meetings and the Zoom Desktop client and are designed to facilitate collaboration and engagement during meetings.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Zoom Hardware-as-a-Service</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Zoom Hardware-as-a-Service offering allows customers to access the latest and greatest video communication technology. Customers can deploy a world-class communications experience with a variety of subscription options for phone and meeting room hardware. Zoom customers will be able to scale video conference rooms and phones with hardware options and hardware refreshes at an affordable, fixed monthly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and Infrastructure</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unique technology and infrastructure enable best-in-class reliability, scalability, and performance. We designed our communications platform to be video-first and cloud-native. Most legacy approaches utilize single multipoint control units (“MCUs”) to bridge video and voice participants into an integrated stream that is broadcast back to the participants. These hardware devices are shipped with defined processing and memory capacity that are difficult to scale. In addition, an MCU architecture is similar to other mainframe-like approaches where stream processing and mixing run on the same machine, which is resource-intensive and limits scalability.</w:t>
      </w:r>
    </w:p>
    <w:p>
      <w:pPr>
        <w:spacing w:after="0" w:line="8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technology was specifically designed from the start to address the most difficult component of communications: video. Video requires intense computing resources for encoding, decoding, multiplexing, and synchronization, as well as higher bandwidth and network performance, to a much higher degree than other forms of communication like voice, chat, and content sharing. Our architecture separates video content processing from the transporting and mixing of streams. We allocate video content processing to intelligent agents that reside on client devices and dynamically encode and decode based upon the performance of client technology, network performance, and bandwidth. We leverage a next-generation multimedia router that operates on commodity hardware and a globally distributed cloud infrastructure to determine the optimal data centers to host a meeting and an optimal set of paths to connect the participants.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have customers of all sizes, from individuals to global Fortune 50 organizations. Our current customer base spans numerous industry categories, including education, entertainment/media, enterprise infrastructure, finance, government, health care, manufacturing, non-profit/not for profit and social impact, retail/consumer products, and software/internet. No individual customer represented more than 10% of our total revenue in the fiscal year ended January 31, 2021. As of January 31, 2021, we had approximately 467,100 customers with more than 10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sales model combines our viral demand generation and our free Zoom Meeting plan with a sales approach optimized for the size of each customer opportunity. Our direct sales force includes our field sales representatives as well as our inside sales team, and it is organized by customer employee count and vertical. Our channel team coordinates the activities of resellers and strategic partners to build a strong ecosystem that broadens our reach. Our online channel supports high-volume, high-velocity, self-service sales.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marketing team’s primary objective is to create preference for our brand by leveraging our viral growth, enhancing brand perception, and engaging our users with virtual events, social media, and customer advisory councils. We complement our viral growth with targeted online and out-of-home advertising. We shifted our events strategy from in-person to online during the pandemic, including hosting Zoomtopia, our annual user conference, to over 150,000 unique virtual attendees.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drive our business with constant innovation. We have research and development presence in the United States, India, Singapore and China, which we believe is a strategic advantage for us, allowing us to invest more in increasing our product capabilities in an efficient manner with a “follow the sun” strategy.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markets in which we operate are highly competitive. We face competition from legacy web-based meeting services providers, including Cisco Webex and LogMeIn GoToMeeting, and bundled productivity solution providers with video functionality, including Google G Suite and Microsoft Teams, as well as UCaaS and legacy PBX providers, including 8x8. Avaya, and RingCentral.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117" w:lineRule="exact"/>
        <w:rPr>
          <w:sz w:val="20"/>
          <w:szCs w:val="20"/>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video-first platform;</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cloud-native architecture;</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functionality and scalability;</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ease of use and reliability;</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brand awareness and preference;</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utilize existing infrastructure, such as legacy conference room hardware; and</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 total cost of ownership.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rely on a combination of patents, trademarks, copyrights, and trade secrets, as well as contractual protections, to establish and protect our intellectual property rights. We actively seek patent protection covering inventions originating from our company. We also pursue the registration and enforcement of trademarks and domain names in the United States and in various jurisdictions outside the United States.</w:t>
      </w:r>
    </w:p>
    <w:p>
      <w:pPr>
        <w:spacing w:after="0" w:line="7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control access to and use of our proprietary technology and other confidential information through internal and external controls, including contractual protections with employees, contractors, customers, and partners. Our software is protected by U.S. and international intellectual property laws. Our policy requires employees and independent contractors to sign agreements (1) assigning to us any inventions, trade secrets, works of authorship, and other intellectual property generated by them in the course of their employment, and (2) agreeing to protect our confidential information.</w:t>
      </w:r>
    </w:p>
    <w:p>
      <w:pPr>
        <w:spacing w:after="0" w:line="4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certain circumstances, we license intellectual property from third parties for use in our products. This may include open source software. We take steps to ensure compliance with the terms of the licenses governing such licensed technology. We believe our business is not materially dependent on any individual patent, trademark, copyright, trade secret, license, or other intellectual property right. For information on the risks associated with our intellectual property, see “Item 1A -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global trade, business acquisitions, consumer and data protection, and taxes, could have a material impact on our business in subsequent periods. For more information on the potential impacts of government regulations affecting our business, see “Item 1A - Risk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January 31, 2021, we had 4,422 full-time employees. Of these employees, 2,662 are in the United States and 1,760 are in our international locations. None of our employees are represented by a labor union or covered by collective bargaining agreements, and we have not experienced any work stoppages.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Our Culture of Happiness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focused on delivering happiness to our employees and customers. We strive to change the way business is done through our communications technology and our company culture. We take happiness so seriously that we have an employee-led happiness committee and crew to facilitate and amplify our efforts to deliver happiness to our employees and customers.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culture of delivering happiness drives our mission, vision, and values and is fundamental to everything we do at Zoom:</w:t>
      </w:r>
    </w:p>
    <w:p>
      <w:pPr>
        <w:spacing w:after="0" w:line="113" w:lineRule="exact"/>
        <w:rPr>
          <w:sz w:val="20"/>
          <w:szCs w:val="20"/>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Mission. </w:t>
      </w:r>
      <w:r>
        <w:rPr>
          <w:rFonts w:ascii="Arial" w:cs="Arial" w:eastAsia="Arial" w:hAnsi="Arial"/>
          <w:sz w:val="18"/>
          <w:szCs w:val="18"/>
          <w:color w:val="auto"/>
        </w:rPr>
        <w:t>Our mission is to make video communications frictionless and secure.</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Vision. </w:t>
      </w:r>
      <w:r>
        <w:rPr>
          <w:rFonts w:ascii="Arial" w:cs="Arial" w:eastAsia="Arial" w:hAnsi="Arial"/>
          <w:sz w:val="18"/>
          <w:szCs w:val="18"/>
          <w:color w:val="auto"/>
        </w:rPr>
        <w:t>Our vision is to empower people to accomplish more through video communications.</w:t>
      </w:r>
    </w:p>
    <w:p>
      <w:pPr>
        <w:spacing w:after="0" w:line="117" w:lineRule="exact"/>
        <w:rPr>
          <w:rFonts w:ascii="Arial" w:cs="Arial" w:eastAsia="Arial" w:hAnsi="Arial"/>
          <w:sz w:val="18"/>
          <w:szCs w:val="18"/>
          <w:color w:val="auto"/>
        </w:rPr>
      </w:pPr>
    </w:p>
    <w:p>
      <w:pPr>
        <w:ind w:left="1140" w:hanging="646"/>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Values. </w:t>
      </w:r>
      <w:r>
        <w:rPr>
          <w:rFonts w:ascii="Arial" w:cs="Arial" w:eastAsia="Arial" w:hAnsi="Arial"/>
          <w:sz w:val="18"/>
          <w:szCs w:val="18"/>
          <w:color w:val="auto"/>
        </w:rPr>
        <w:t>We care for our community, our customers, our company, our teammates, and ourselves.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This culture supports our hiring and serves as a competitive advantage in attracting and retaining top talent. Comparably recognized Zoom for numerous culture awards in 2020 including Best Company Happiness and Best CEO. Our employees also named Zoom among the winners of Glassdoor’s Employees’ Choice Awards honoring the Best Places to Work in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Diversity, Equity and Inclusion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Diversity, equity and inclusion (“DEI”) at Zoom is an embodiment of our core value of Care. DEI also represents our intentional effort to create an inclusive environment of the brightest minds from a broad set of backgrounds in order to create the most innovative solutions for our customers. Our approach to DEI is driven across four strategic focus areas: workforce (who and how we hire), workplace (how it feels to work at Zoom), marketplace (how we include our customers) and community (how we help to make the world more equitable).</w:t>
      </w:r>
    </w:p>
    <w:p>
      <w:pPr>
        <w:spacing w:after="0" w:line="7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June, we hired our first Chief Diversity Officer, Damien Hooper-Campbell, to lead our DEI function globally. We have taken steps to diversify our candidate outreach through engagements with AfroTech, Merritt College, AnitaB.org and a five-year strategic partnership with Claflin University. In our workplace, we launched our Zoom Talks initiative to create ongoing spaces for our employees to learn more about each other's unique backgrounds. We also launched our inaugural Employee Resource Group (“ERG”) program with a focus on Black, Latinx, Women's, Veterans and LGBTQ+ communities. Our DEI Team continues to partner with teams leading our product design and marketing to invest in making our products even more inclusive and accessible to the diverse set of communities we serve. Finally, in an effort to both further our education internally and provide others outside of Zoom with an opportunity to learn, we created the nine-part learning series, “Race in the Workplace”, in partnership with TIME and renowned expert, Dr. Shaun Harper.</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offer fair, competitive compensation and benefits that support our employees’ overall well-being. Our employees’ total compensation packages include base pay, bonuses or sales commissions, and equity. We offer a wide array of benefits including comprehensive healthcare benefits, including mental health and fertility benefits, wellness benefits, a book reimbursement plan to support continuous learning, and charitable gift matching through our Zoom Cares program.</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response to the COVID-19 pandemic, we implemented significant changes that we determined were in the best interest of our employees as well as the communities in which we operate. This includes having the vast majority of our employees work from home, while implementing additional safety measures for employees continuing critical on-site work. We also provide flexible work hours in certain cases. We have also provided a work-from-home reimbursement policy to assist employees in that transition.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Facilities</w:t>
      </w:r>
    </w:p>
    <w:p>
      <w:pPr>
        <w:spacing w:after="0" w:line="12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Our corporate headquarters is located in San Jose, California, where we lease approximately 103,000 square feet of commercial space pursuant to operating leases that expire in the fiscal year ending January 31, 2030. In addition, we maintain additional offices in the United States and internationally in Asia-Pacific (“APAC”) and Europe, Middle East, and Africa (“EMEA”). We believe that our facilities are suitable to meet our current needs.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6th Floor, San Jose, California 95113. Our telephone number is (888) 799-9666. Our website address is https://zoom.com. Information contained on, or that can be accessed through, our website is not incorporated by reference into this Annual Report on Form 10-K. The Zoom design logo, “Zoom,” “Zoom Video Communications,” and our other registered or common law trademarks, service marks or trade names appearing in this Annual Report on Form 10-K are the property of Zoom Video Communications, Inc. Other trade names, trademarks, and service marks used in this Annual Report on Form 10-K are the property of their respective owners.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file annual reports on Form 10-K, quarterly reports on Form 10-Q, current reports on Form 8-K, and amendments to reports filed or furnished pursuant to Sections 13(a) and 15(d) of the Exchange Act. The SEC maintains a website at www.sec.gov that contains reports, proxy and information statements, and other information that we file with the SEC electronically. Copies of our reports on Form 10-K, Forms 10-Q, Forms 8-K, and amendments to those reports may also be obtained, free of charge, electronically through our investor relations website located at investors.zoom.us as soon as reasonably practical after we file such material with, or furnish it to, the SEC.</w:t>
      </w:r>
    </w:p>
    <w:p>
      <w:pPr>
        <w:spacing w:after="0" w:line="8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announce material information to the public through a variety of means, including filings with the SEC, press releases, public conference calls, our website (www.zoom.com) and the investor relations section of our website (investors.zoom.us). We use these channels, as well as social media, including our blog (blog.zoom.us), our Twitter account (@zoom_us), our LinkedIn page (linkedin.com/company/zoom-video-communications), and our Facebook page (facebook.com/zoomvideocommunications), to communicate with investors and the public about our Company, our products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services, and other matters. Therefore, we encourage investors, the media, and others interested in our Company to review the information we make public in these locations, as such information could be deemed to be material information. Information on or that can be accessed through our websites or these social media channels is not part of this Annual Report on Form 10-K, and the inclusion of our website addresses and social media channels are inactive textual references only.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i w:val="1"/>
          <w:iCs w:val="1"/>
          <w:color w:val="auto"/>
        </w:rPr>
        <w:t>Investing in our securities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securities. The risks and uncertainties described below may not be the only ones we face. If any of the risks actually occur, our business could be materially and adversely affected. In that event, the market price of our Class A common stock could decline, and you could lose part or all of your investment.</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unified communications platform who initiates a Zoom Meeting and invites one or more participants to join that meeting. We refer to hosts who subscribe to a paid Zoom Meeting plan as “paid hosts.”</w:t>
      </w:r>
    </w:p>
    <w:p>
      <w:pPr>
        <w:spacing w:after="0" w:line="79"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business is subscription based, and customers are not obligated to, and may choose not to,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including any new customers or hosts that have subscribed to our services during the COVID-19 pandemic that may subsequently reduce or discontinue their use after the impact of the pandemic has tapered, or the perception that competitive products provide better, more secure, or less expensive options. In addition, some customers downgrade their Zoom Meeting plan or do not renew their subscriptions. Furthermore, as a result of the increased usage of our platform during the COVID-19 pandemic, our customer base has shifted from largely businesses and enterprises to a mix of businesses, enterprises, and consumers. This shift in mix could result in higher non-renewal rates than we have experienced in the past. We must continually add new customers and hosts to grow our business beyond our current user base and to replace customers and hosts who choose not to continue to use our platform. Finally, any decrease in user satisfaction with our products or support would harm our brand, word-of-mouth referrals, and ability to grow.</w:t>
      </w:r>
    </w:p>
    <w:p>
      <w:pPr>
        <w:spacing w:after="0" w:line="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including those that recently subscribed to our free plan during the COVID-19 pandemic as a result of shelter-in-place and work-from-home mandates, may never upgrade to a paid Zoom Meeting plan. If we fail to upsell our customers or upgrade hosts of our free Zoom Meeting plan to paid subscriptions or expand the number of paid hosts within organizations, our business would be harmed.</w:t>
      </w:r>
    </w:p>
    <w:p>
      <w:pPr>
        <w:spacing w:after="0" w:line="5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addition, our user growth rate may slow or decline in the future as our market penetration rates increase and we turn our focus to upgrading our free hosts to a paid Zoom Meeting plan rather than growing the total number of users. If we are not able to continue to expand our user base, our revenue may grow more slowly than expected or decline. Similar to the uncertainty of customers renewing their subscriptions or hosts upgrading to a paid Zoom Meeting plan, we expect our user growth rate to slow or decline once the impact of the COVID-19 pandemic tapers, particularly as a vaccine becomes widely available, and users return to work or school or are otherwise no longer subject to shelter-in-place mandates.</w:t>
      </w:r>
    </w:p>
    <w:p>
      <w:pPr>
        <w:spacing w:after="0" w:line="176" w:lineRule="exact"/>
        <w:rPr>
          <w:sz w:val="20"/>
          <w:szCs w:val="20"/>
          <w:color w:val="auto"/>
        </w:rPr>
      </w:pPr>
    </w:p>
    <w:p>
      <w:pPr>
        <w:jc w:val="both"/>
        <w:ind w:firstLine="486"/>
        <w:spacing w:after="0" w:line="381" w:lineRule="auto"/>
        <w:rPr>
          <w:sz w:val="20"/>
          <w:szCs w:val="20"/>
          <w:color w:val="auto"/>
        </w:rPr>
      </w:pPr>
      <w:r>
        <w:rPr>
          <w:rFonts w:ascii="Arial" w:cs="Arial" w:eastAsia="Arial" w:hAnsi="Arial"/>
          <w:sz w:val="15"/>
          <w:szCs w:val="15"/>
          <w:b w:val="1"/>
          <w:bCs w:val="1"/>
          <w:i w:val="1"/>
          <w:iCs w:val="1"/>
          <w:color w:val="auto"/>
        </w:rPr>
        <w:t>Interruptions, delays, or outages in service from our co-located data centers and a variety of other factors, including increased usage stemming from the COVID-19 pandemic, would impair the delivery of our services, require us to issue credits or pay penalties, and harm our business.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currently serve our users from various co-located data centers located throughout the world. We also utilize Amazon Web Services and Oracle Cloud for the hosting of certain critical aspects of our business, as well as Microsoft Azure for limited customer-specified managed services.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ransomware or cyber extortion, fraud, general internet availability issues, spikes in usage, and denial of service issues. In some instances, we may not be able to identify the cause or causes of these problems within an acceptable period of time. For example, we have experienced partial outages in our services that impacted a subset of our users for a limited number of hours. Additionally, in connection with the addition of new data centers or expansion or consolidation of our existing data center facilities or other reasons, we may move or transfer our data and our users’ metadata to other data centers, not including our China data center.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and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59"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6"/>
          <w:szCs w:val="16"/>
          <w:color w:val="auto"/>
        </w:rPr>
        <w:t>Additionally, if our data centers are unable to keep up with our increasing needs for capacity, including increased usage stemming from the COVID-19 pandemic, customers may experience delays or interruptions in service as we seek to obtain additional capacity, which could result in the loss of customers who use our unified communications platform because of its reliability and performance. We plan to continue our practice of opening new data centers to meet increased demand, but we may be unable to bring additional data centers online in a timely manner, including as a result of current</w:t>
      </w:r>
    </w:p>
    <w:p>
      <w:pPr>
        <w:spacing w:after="0" w:line="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shortages for certain parts, such as servers. In addition, to meet short-term capacity needs, we may need to rely increasingly on public cloud providers, including Amazon Web Services and Oracle Cloud, which may result in higher variable costs and harm our business, financial condition, and operating results.</w:t>
      </w:r>
    </w:p>
    <w:p>
      <w:pPr>
        <w:spacing w:after="0" w:line="7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disease, such as the COVID-19 pandemic;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6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legacy web-based meeting providers, including Cisco Webex and LogMeIn GoToMeeting;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bundled productivity solutions providers with video functionality, including Microsoft Teams and Google G Suite and Meet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UCaaS and legacy PBX providers, including Avaya, RingCentral, and 8x8;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consumer-facing platforms that can support small- or medium-sized businesses, including Amazon, Apple and Facebook.</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Other large established companies may also make investments in video communications tools. In addition, as we introduce new products and services, and with the introduction of new technologies and market entrants, we expect competition to intensify in the future. For example, we recently introduced Zoom Phone, a cloud phone system that allows customers to replace their existing PBX solution, which will result in increased competition against companies that offer similar services and new competitors that may enter that market in the future. Also, in connection with the travel restrictions and stay-in-place policies resulting from the COVID-19 pandemic, we have seen a significant increase in usage and subscriptions from smaller customers, many of whom are consumers or small and medium sized businesses. With respect to these smaller customers, we face competition from more consumer-oriented platforms, most of which have more experience with the consumer market than we do. Further, many of our actual and potential competitors benefit from competitive advantages over us, such as greater name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6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than we do.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 We, on occasion, offer customers a free period of time at the beginning of the subscription term that can result in deferred billings or long-term accounts receivable and increase the risk of loss on uncollected accounts receivable.</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have experienced significant revenue growth in prior periods. You should not rely on the revenue growth of any prior quarterly or annual period as an indication of our future performance. We expect our revenue growth rate to generally decline in future periods. Many factors may contribute to declines in our growth rate, including higher market penetration, increased competition, slowing demand for our platform, especially once the impact of the COVID-19 pandemic tapers, particularly as a vaccine becomes widely available, and users return to work or school or are otherwise no longer subject to shelter-in-place mandates,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For example, beginning in the fiscal quarter ended April 30, 2020, we faced unprecedented usage of our unified communications platform largely due to the COVID-19 pandemic, a significant portion of which is attributable to free Basic accounts, which do not generate any revenue. To meet this increased demand, we have incurred and expect to continue to incur significant costs associated with upgrading our infrastructure and expanding our capacity, including higher variable costs to the extent we have had to rely on public cloud providers rather than our own data centers. Fluctuation in quarterly results may negatively impact the value of our securities. Factors that may cause fluctuations in our quarterly results of operations include, without limitation, those listed below:</w:t>
      </w:r>
    </w:p>
    <w:p>
      <w:pPr>
        <w:spacing w:after="0" w:line="7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and upgrade customers to higher-priced tiers of Zoom Meeting plans;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attract new hosts and upgrade hosts that subscribe to our free Zoom Meeting plan to one of our paid Zoom Meeting plans;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and retain employees, in particular those responsible for the selling or marketing of our platform;</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develop, and retain talented sales personnel who are able to achieve desired productivity levels in a reasonable period of time and provide sales leadership in areas in which we are expanding our sales and marketing efforts;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way we organize and compensate our sales teams;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increase sales to large organizations;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our sales cycles, especially with respect to sales to large enterprises and highly-regulated industries, including financial services and U.S. federal and state and foreign governmental agencies;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international expansion and entry into operating leases; and the hiring and retention of personnel who can build, manage, and maintain our expanded business operations and infrastructure;</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and effectiveness of new sales and marketing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hire and retain experienced research and development personnel to design new products, features, and functionality that meet our privacy and security standards;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functionality by us or our competitors;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interruptions or delays in our service; network outages; or actual, alleged, or perceived privacy violations or issues or security vulnerabilities, incidents, or breaches;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lawsuits; regulatory actions or investigations; legislator scrutiny; or negative publicity arising from actual, alleged, or perceived privacy violations or issues or security vulnerabilities, incidents, or breaches;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expenses related to any future acquisitions;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16"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Unlike traditional communications and collaborations technologies, our services depend on our users’ high-speed broadband access to the internet, usually provided through a cable or digital subscriber line connection. Increasing numbers of users and increasing bandwidth requirements may degrade the performance of our platform due to capacity constraints and other internet infrastructure limitations. As our number of users grow and their usage of communications capacity increases, including increased usage stemming from the COVID-19 pandemic,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which could permanently harm our business.</w:t>
      </w:r>
    </w:p>
    <w:p>
      <w:pPr>
        <w:spacing w:after="0" w:line="6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addition, users who access our platform through mobile devices, such as smartphones and tablets, must have a high-speed connection, such as 3G, 4G, 5G,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5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market, and maintain internet offerings. The new rules went into effect on June 11, 2018. Numerous parties filed judicial challenges to the order, and on October 1, 2019, the United States Court of Appeals for the District of Columbia Circuit released a decision that rejected nearly all of the challenges to the new rules, but reversed the FCC's decision to prohibit all state and local regulation targeted at broadband internet service, requiring case-by-case determinations as to whether state and local regulation conflicts with the FCC's rules. The court also required the FCC to reexamine three issues from the order but allowed the order to remain in effect, while the FCC conducts that review. On February 6, 2020, the court denied requests for rehearing of the original decision, and the deadline for petitions requesting the Supreme Court to review the decision has passed without the filing of any such petitions. On February 19, 2020, the FCC released a public notice asking for comment on the three issues the court required it to reexamine. On October 27, 2020, the FCC adopted an order concluding that the three issues remanded by the court did not provide a basis to alter its conclusions in the 2018 order. Petitions for reconsideration of this decision are pending. Democratic control of the Executive Branch, Congress, and the FCC following the 2020 elections increases the likelihood of legislative or FCC action to reverse the 2018 decision or adopt new network neutrality rules. In addition, a number of states have adopted or are adopting or considering legislation or executive actions that would regulate the conduct of broadband providers. On February 23, 2021, a federal court judge denied a request for injunction against California’s state-specific network neutrality law, and as a result, California will soon begin enforcing that law. On March 10, 2021, trade associations representing internet service providers appealed the district court’s ruling denying the preliminary injunction. We cannot predict whether the FCC order or other state initiatives will be enforced, modified, overturned, or vacated by legal action of the court, federal legislation, or the FCC. Under the new rules, broadband internet access providers may be able to charge web-based services such as ours for priority access or favor services offered by our competitors or by the internet access providers themselves, which could result in increased costs and a loss of existing customers and hosts, impair our ability to attract new customers and hosts, and harm our business.</w:t>
      </w:r>
    </w:p>
    <w:p>
      <w:pPr>
        <w:spacing w:after="0" w:line="6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If there are changes to the regulatory structures in the United States or elsewhere that reduce investment in infrastructure by internet service providers, including a return of the network neutrality regulations that were repealed, any impacts of reduced investment that reduce network capacity or speed could have a negative effect on our business, operating results, and financial condition.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As we increase sales to large organizations, our sales cycles could lengthen, and we could experience greater deployment challenges.</w:t>
      </w:r>
    </w:p>
    <w:p>
      <w:pPr>
        <w:spacing w:after="0" w:line="14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we continue to grow, we have begun investing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or if any new customers or hosts that have subscribed to our services during the COVID-19 pandemic subsequently reduce or discontinue their use after the impact of the pandemic has tapered, demand for our platform could be negatively affected.</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76"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awareness of the communications and collaboration technologies category;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modes of communications and collaboration that may be developed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reliability of our platform, including frequency of outages;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user support;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pricing.</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18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We have experienced net losses in the past, and we expect to increase our expenses in the future, which could prevent us from maintaining profitability.</w:t>
      </w:r>
    </w:p>
    <w:p>
      <w:pPr>
        <w:spacing w:after="0" w:line="62"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Although we generated net income of $672.3 million, $25.3 million and $7.6 million for the fiscal years ended January 31, 2021, 2020, and 2019, respectively, we have incurred net losses in the past and could incur net losses in the future. We intend to continue to expend significant funds to expand our direct sales force and marketing efforts to attract new customers and hosts and to develop and enhance our products and for general corporate purposes, including operations, hiring additional personnel, including through acquisitions of other businesses, upgrading our infrastructure, and addressing security and privacy issues, including those stemming from the unprecedented numbers of first-time users during the COVID-19 pandemic who may not have full IT support or established protocols like our enterprise customers,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 expenses. We may incur significant losses in the future for a number of reasons, including as a result of the other risks described herein, and unforeseen expenses, difficulties, complications, delays, and other unknown events. For example, we have faced unprecedented usage during the COVID-19 pandemic and, to meet this increased demand, have incurred and expect to continue to incur significant costs associated with upgrading our infrastructure and expanding our capacity, including higher variable costs to the extent we have to rely on public cloud providers rather than our own data centers. Despite these significant investments, a majority of these new hosts using our platform on a free Basic account may never upgrade to a paid Zoom Meeting plan. If we are unable to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maintain profitability in future periods. If we fail to grow our revenue sufficiently to keep pace with our investments and other expenses, our business would be harmed.</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76"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5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7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4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subject to requirements imposed by app stores such as those operated by Apple and Google, who may change their technical requirements or policies in a manner that adversely impacts the way in which we or our partners collect, use and share data from users. If we do not comply with these requirements, we could lose access to the app store and users, and our business would be harmed.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enhance privacy and security, and create organic user demand for our platform. For example, in October 2020 we introduced two new additions to our Zoom platform, OnZoom and Zoom Apps. There is no assurance that these new additions or other future enhancements to our platform or new product experiences, features, or capabilities will be compelling to our users or gain market acceptance, or that they will perform as expected. If our research and development investments do not accurately anticipate user demand or if we fail to develop our platform in a manner that satisfies user preferences and requirements in a timely and cost-effective manner, we may fail to retain our existing users or increase demand for our platform.</w:t>
      </w:r>
    </w:p>
    <w:p>
      <w:pPr>
        <w:spacing w:after="0" w:line="7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or they do not perform as expected,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18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 If we are unable to hire a sufficient number of qualified sales personnel in the near term, our future revenue growth and business could be adversely impacted.</w:t>
      </w:r>
    </w:p>
    <w:p>
      <w:pPr>
        <w:spacing w:after="0" w:line="7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Identifying and recruiting qualified sales representatives and training them is time consuming and resource intensive, and they may not be fully trained and productive for a significant amount of time. We also plan to dedicate significant resources to sales and marketing programs, including internet and other online advertising.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our new sales personnel are unable to achieve desired productivity levels in a reasonable period of time, or if our sales and marketing programs are not effective.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b w:val="1"/>
          <w:bCs w:val="1"/>
          <w:i w:val="1"/>
          <w:iCs w:val="1"/>
          <w:color w:val="auto"/>
        </w:rPr>
        <w:t>Our security measures have been compromised in the past and may be compromised in the future. If our security measures are compromised in the future or if our information technology fails, this could harm our reputation, expose us to significant fines and liability, impair our sales, and harm our business. In addition, our products and services may be perceived as not being secure. This perception may result in customers and hosts curtailing or ceasing their use of our products, our incurring significant liabilities, and our business being harmed.</w:t>
      </w:r>
    </w:p>
    <w:p>
      <w:pPr>
        <w:spacing w:after="0" w:line="49" w:lineRule="exact"/>
        <w:rPr>
          <w:sz w:val="20"/>
          <w:szCs w:val="20"/>
          <w:color w:val="auto"/>
        </w:rPr>
      </w:pPr>
    </w:p>
    <w:p>
      <w:pPr>
        <w:jc w:val="both"/>
        <w:ind w:firstLine="486"/>
        <w:spacing w:after="0" w:line="283" w:lineRule="auto"/>
        <w:rPr>
          <w:sz w:val="20"/>
          <w:szCs w:val="20"/>
          <w:color w:val="auto"/>
        </w:rPr>
      </w:pPr>
      <w:r>
        <w:rPr>
          <w:rFonts w:ascii="Arial" w:cs="Arial" w:eastAsia="Arial" w:hAnsi="Arial"/>
          <w:sz w:val="16"/>
          <w:szCs w:val="16"/>
          <w:color w:val="auto"/>
        </w:rPr>
        <w:t>Our operations involve the storage and transmission of customer and user data or information, and security incidents have occurred in the past, and may occur in the future, resulting in unauthorized access to, loss or unauthorized disclosure of, or inadvertent disclosure of, this information, regulatory investigations or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we face security risks from malicious code (such as viruses and worms), phishing incidents, credential stuffing attacks, employee theft, misuse of information or systems, sophisticated nation-state and nation-state supported actors, and advanced persistent threat intrusions. Moreover, security incidents can result in interruptions, delays, or outages in our operations and services, including due to ransomware or denial-of-service attacks. Despite significant efforts to create security barriers to such threats, it is impossible for us to entirely mitigate these risks. If our security measures are compromised as a result of third-party action, employee, customer, host or user error, malfeasance, stolen or fraudulently obtained log-in credentials, or otherwise, our reputation could be damaged; our data, information or intellectual property, or that of our customers, may be destroyed, stolen, or otherwise compromised; our business may be harmed; and we could incur significant liability. We have not always been able in the past and may be unable in the future to anticipate or prevent threats or techniques used to detect or exploit vulnerabilities in our services or software or third-party software, or obtain unauthorized access to or compromise our systems, because such threats and techniques change frequently and are generally not detected until after an incident has occurred. In addition, security researchers and other individuals have in the past and will continue in the future to actively search for and exploit actual and potential vulnerabilities in our software or services. This activity may increase because of increased demand for our services and increased media scrutiny of our unified communications platform, and can lead to additional adverse publicity, reputational harm, extortion threats, business and operational interruptions, security incidents, additional expenses, litigation, regulatory investigations and actions, and substantial harm to our business, some of which we have experienced during the COVID-19 pandemic. For example, in July 2019, a security researcher published a blog highlighting concerns with the Zoom Meeting platform, including certain video-on features. We were able to release updates to the software addressing these vulnerabilities, and we are not aware of any customers being affected or meetings compromised by these vulnerabilities. In most cases customers are responsible for installing this update to the software, and their software is subject to these vulnerabilities until they do so. Additionally, in March 2020, a security researcher reported certain vulnerabilities related to our macOS version that could have allowed an unauthorized person to gain root access to a user’s system. We cannot be certain that we will be able to address any vulnerabilities in our software that we may become aware of in the future, or there may be delays in developing patches that can be effectively deployed to address vulnerabilities. We expect similar issues to arise in the future as our products and services are more widely adopted, and as we continue to expand the features and functionality of existing products and introduce new products. We expect to expend significant resources in an effort to protect against security incidents and to mitigate, detect, and remediate actual and potential vulnerabilities. Security incidents and vulnerabilities, and concerns regarding privacy, data protection, and information security may cause some of our customers and hosts to stop using our solutions and fail to upgrade or renew their subscriptions. This discontinuance in use or failure to upgrade or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cybersecurity events or security vulnerabilities could result in breaches of our agreements with customers, lawsuits against us (including class action litigation), regulatory investigations or actions, and significant increases in costs, including costs for remediating the effects of such an event or vulnerability, lost revenue due to network downtime, and a decrease in customer, host, and user trust, increases in insurance premiums due to cybersecurity incidents, increased costs to address cybersecurity issues, and attempts to prevent future incidents, fines, penalties, judgments and settlements, and attorney fees, and harm to our business and our reputation because of any such incident.</w:t>
      </w:r>
    </w:p>
    <w:p>
      <w:pPr>
        <w:spacing w:after="0" w:line="7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Many governments have enacted laws requiring companies to provide notice of data security incidents involving certain types of personal data. Such laws are inconsistent, and compliance in the event of a widespread data breach is costly. In addition, some of our customers require us to notify them of data security breaches. Security compromises experienced by our competitors, our customers, or us may lead to public disclosures, which may lead to widespread negative publicity. In addition, while more than half of our employees are based in the United States, like many similarly situated technology companies, we have a sizable number of research and development personnel in China, which has exposed and could continue to expose us to governmental and regulatory as well as market and media scrutiny regarding the actual or perceived integrity of our platform or data security and privacy features. Any security compromise in our industry, whether actual or perceived, could harm our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reputation, erode confidence in the effectiveness of our security measures; negatively affect our ability to attract new customers and hosts; cause existing customers to elect not to renew their subscriptions; or subject us to third-party lawsuits, regulatory investigations, proceedings, and fines, or other action or liability, which could harm our business and reputation. Increased usage of our services, novel uses of our services, and additional awareness of Zoom and our brand could lead to greater public scrutiny of, press related to, or a negative perception of our information security and potential vulnerabilities associated with, our platform. For example, in connection with the COVID-19 pandemic, we opened our platform to unprecedented numbers of first-time users, leading to challenges for users who did not have full IT support or established protocols for security and privacy like our enterprise customers. As a result, we have experienced negative publicity related to meeting disruptions and security and privacy issues, including on encryption. Such unfavorable publicity and scrutiny could result in material reputational harm, a loss of customer and user confidence, increased regulatory or litigation exposure, additional expenses, and other harm to our business.</w:t>
      </w:r>
    </w:p>
    <w:p>
      <w:pPr>
        <w:spacing w:after="0" w:line="7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There can be no assurance that any limitations of liability provisions in our subscription agreements, terms of use or other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are not covered or exceed available insurance coverage, or the occurrence of changes in our insurance policies, including premium increases or the imposition of large deductible or co-insurance requirements, could harm our business.</w:t>
      </w:r>
    </w:p>
    <w:p>
      <w:pPr>
        <w:spacing w:after="0" w:line="16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believe that our brand identity and awareness have contributed to our success and have helped fuel our efficient go-to-market strategy. We connect people through frictionless and secure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or have a negative perception of our privacy and security,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including any delays or interruptions in service due to capacity constraints stemming from increased usage due to the COVID-19 pandemic, or of our privacy or security features, or of the providers of communication and collaboration technologies generally, could adversely affect our reputation and our ability to attract and retain hosts. Similarly, any unfavorable perception of our company, including due to any actual or perceived violation by our employees of our policies, such as our Code of Business Conduct and Ethics, could cause us reputational harm and customer loss, impact our financial performance, expose us to litigation, and harm our business, among other things. If we fail to promote and maintain the Zoom brand, including consumer and public perception of our platform or our company, or if we incur excessive expenses in this effort, our business will be harmed.</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Since our founding in 2011, we have experienced rapid growth. For example, our headcount has grown from 2,532 full-time employees as of January 31, 2020, to 4,422 full-time employees as of January 31, 2021,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integrating, developing, and motivating a rapidly growing employee base in various countries around the world. For example, a significant number of our employees were hired in recent months and have never been to one of our office locations. Certain members of our management have not previously worked together for an extended period of time, and some do not have prior experience managing a public company, which may affect how they manage our growth. Managing our growth will also require significant expenditures and allocation of valuable management resources.</w:t>
      </w:r>
    </w:p>
    <w:p>
      <w:pPr>
        <w:spacing w:after="0" w:line="7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business may be significantly affected by a change in the economy, including any resulting effect on consumer or business spending.</w:t>
      </w:r>
    </w:p>
    <w:p>
      <w:pPr>
        <w:spacing w:after="0" w:line="14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business may be affected by changes in the economy generally, including as a result of the COVID-19 pandemic and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Given current economic conditions, we could experience a reduction in demand and loss of customers, especially if the effects of the current economic environment have a prolonged impact on various industries that our unified communications platform addresses. We would lose customers as a result of customers ceasing to do business, and we could experience a material increase in longer payment cycles and greater difficulty in collecting accounts receivable from certain customers. While we have seen increased usage stemming from the COVID-19 pandemic, a significant portion of the increase in usage of our platform is attributable to free Basic accounts, which do not generate any revenue. Moreover, there is no assurance that we will experience an increase in paid hosts once the pandemic tapers, particularly in light of the economic downturn. Similarly, given the shift in our customer base from largely businesses and enterprises to a mix of businesses, enterprises, and consumers due to the COVID-19 pandemic, we expect that we will see higher rates of non-renewals than we have experienced historically.</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Our ability to sell subscriptions to our platform could be harmed by real or perceived material defects or errors in our platform.</w:t>
      </w:r>
    </w:p>
    <w:p>
      <w:pPr>
        <w:spacing w:after="0" w:line="1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have in the past resulted and could in the future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6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7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issue refunds to our customers or expose us to claims for damages;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cause us to lose existing hosts and make it more difficult to attract new customers and hosts;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divert our development resources or require us to make extensive changes to our platform, which would increase our expenses;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22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global operations, including regions such as the United States, EMEA and APAC. All of our executive officers are at-will employees, and we do not maintain any key person life insurance policies. Any changes in our senior management team in particular, even in the ordinary course of business, may be disruptive to our business. While we seek to prepare for such transitions, including by establishing strong processes and procedures and succession planning, such changes may result in a loss of institutional knowledge and cause disruptions to our business. If our senior management team fails to work together effectively or execute our plans and strategies on a timely basis as a result of management turnover or otherwise, our business could be harmed.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6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in a timely manner or at all. We completed our initial public offering (“IPO”) in April 2019 and potential candidates may not perceive our compensation package, including our equity awards, as favorably as employees hired prior to our IPO. In addition, our recruiting personnel, methodology, and approach may need to be altered to address a changing candidate pool and profile. We may not be able to identify or implement such changes in a timely manner. If we fail to attract new personnel or fail to retain and motivate our current personnel, our business could be harmed.</w:t>
      </w:r>
    </w:p>
    <w:p>
      <w:pPr>
        <w:spacing w:after="0" w:line="8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Many of the companies with which we compete for experienced personnel have greater resources than we have, and some of these companies may offer more attractive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5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believe that a critical component to our success and our ability to retain our best people is our culture. As we continue to grow and develop a public company infrastructure, we may find it difficult to maintain our happiness-centric company culture. Transparency is also an important part of our culture, and one that we practice every day. As we continue to grow, maintaining this culture of transparency will present its own challenges that we will need to address, including the type of information and level of detail that we share with our employees.</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following our IPO, many of our employees are now able to receive significant proceeds from sales of our equity in the public markets, which may reduce their motivation to continue to work for us. Moreover, this liquidity could create disparities in wealth among our employees, which may harm our culture and relations among employees and our business.</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have significant and expanding operations outside the United States, which may subject us to increased business, regulatory and economic risks that could harm our business.</w:t>
      </w:r>
    </w:p>
    <w:p>
      <w:pPr>
        <w:spacing w:after="0" w:line="62"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platform addresses the communications needs of users worldwide, and we see international expansion as a major opportunity. Our revenue from APAC and EMEA collectively represented 31%, 19%, and 18% of our total revenue for the fiscal years ended January 31, 2021, 2020, and 2019, respectively. We plan to add local sales support in further select international markets over time. Our customers include multinational corporations with global users, and we expect to continue to expand our international operations, which may include opening offices in new jurisdictions and providing our platform in additional languages to support the needs of these multinational corporations. Any new markets or countries into which we attempt to allow users to access our services or sell subscriptions to our platform may not be receptive. For example, if we are not able to satisfy certain government- and industry-specific requirements, we may experience service outages or other adverse consequences which would impair our ability to expand further into certain markets.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We also face risks related to recruiting and retaining talented and capable employees outside the United States, including complying with complex employment- and compensation-related laws, regulations and practices in these international jurisdictions, and maintaining our company culture across all of our offices. We may also be unable to grant equity compensation to employees in certain countries outside of the United States due to the complexities of local laws and regulations. This may require us to offer equally compelling alternatives to supplement our compensation, such as long-term cash compensation plans or increased short-term cash compensation, in order to continue to attract and retain employees in these jurisdictions.</w:t>
      </w:r>
    </w:p>
    <w:p>
      <w:pPr>
        <w:spacing w:after="0" w:line="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Operating internationally subjects us to new risks and may increase risks that we currently face, including risks associated with: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0" w:hanging="328"/>
        <w:spacing w:after="0" w:line="342"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5"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information security, telecommunications requirements, data protection, consumer protection and unsolicited email, and the risk of penalties to us and individual members of management or employees if our practices are deemed to be out of compliance;</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 foreign jurisdictions where the government may impede or interrupt our ability to provide our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management of an employee base in jurisdictions that may not give us the same employment and retention flexibility as does the United States;</w:t>
      </w:r>
    </w:p>
    <w:p>
      <w:pPr>
        <w:spacing w:after="0" w:line="1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integration with partners outside of the United States;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 economic instability, including as a result of the United Kingdom's (“U.K.”") withdrawal from the European Union (“EU”), and other political tensions between countries in which we do business;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generally longer payment cycles and greater difficulty in collecting accounts receivable, a risk that may increase as a result of the impact of the COVID-19 pandemic on our customers' ability to pay for our service on a timely basis;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including the imposition of digital services taxes;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Additionally, while our engineering team is headquartered in the United States, we employ a product development team that has a relatively significant footprint in China today, where personnel costs are less expensive than in many other geographies. This product development team carries out the design and architecture decisions made by our U.S. engineering team. We recently announced our intent to expand our research and development presence in Phoenix, Arizona and Pittsburgh, Pennsylvania, as well as in Singapore and India. As a result of this expansion, we could experience, among other things, difficulty in attracting and retaining talent in these location and higher operating expenses, which would adversely impact our operating margins and harm our business.</w:t>
      </w:r>
    </w:p>
    <w:p>
      <w:pPr>
        <w:spacing w:after="0" w:line="6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At the same time, our operations in China have caused and may in the future cause us to be subject to regulatory scrutiny both in China and in the United States. For example, in September 2019, the Chinese government turned off our service in China without warning and requested that we take certain steps prior to restoring our service, including designating an in-house contact for law enforcement requests and transferring China-based user data housed in the United States to a data center in China. Also, in June and July 2020, we received subpoenas from the Department of Justice’s U.S. Attorney’s Office for the Eastern District of New York (“EDNY”) and the Department of Justice’s U.S. Attorney’s Office for the Northern District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California (“NDCA”). The EDNY and NDCA subpoenas requested information about (among other things) our interactions with foreign governments and/or foreign political parties, including the Chinese government, as well as about storage of and access to user data, including the use of servers based overseas. In addition, the EDNY subpoena requested information about the actions we took relating to the Tiananmen commemorations on Zoom. The NDCA subpoena also requested documents and information about (among other things) contacts between our employees and representatives of the Chinese government, and any attempted or successful influence by any foreign government in our policies, procedures, practices, and actions as they relate to users in the United States.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172" w:lineRule="exact"/>
        <w:rPr>
          <w:sz w:val="20"/>
          <w:szCs w:val="20"/>
          <w:color w:val="auto"/>
        </w:rPr>
      </w:pPr>
    </w:p>
    <w:p>
      <w:pPr>
        <w:jc w:val="both"/>
        <w:ind w:firstLine="486"/>
        <w:spacing w:after="0" w:line="246" w:lineRule="auto"/>
        <w:rPr>
          <w:sz w:val="20"/>
          <w:szCs w:val="20"/>
          <w:color w:val="auto"/>
        </w:rPr>
      </w:pPr>
      <w:r>
        <w:rPr>
          <w:rFonts w:ascii="Arial" w:cs="Arial" w:eastAsia="Arial" w:hAnsi="Arial"/>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7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an immaterial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is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18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support for our customers and hosts may harm our relationships with our customers and hosts and, consequently, our business.</w:t>
      </w:r>
    </w:p>
    <w:p>
      <w:pPr>
        <w:spacing w:after="0" w:line="6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have designed our platform to be easy to adopt and use with minimal to no support necessary. However, if we experience increased user demand for support, we may face increased costs that may harm our results of operations. Surging demand during the COVID-19 pandemic has required us to allocate additional resources to support our expanded user base, including many hosts and customers who are using our platform for the first time.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including as a result of increased demand during the COVID-19 pandemic,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6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results of operations, which are reported in U.S. dollars, could be adversely affected if currency exchange rates fluctuate substantially in the future.</w:t>
      </w:r>
    </w:p>
    <w:p>
      <w:pPr>
        <w:spacing w:after="0" w:line="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sell to customers globally and have international operations primarily in Australia, China, and the U.K.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fiscal years ended January 31, 2021, 2020, and 2019, 20.2%, 9.4%, and 6.4% of our revenue, respectively, and 11.9%, 17.5%, and 12.3% of our expenses, respectively, were denominated in currencies other than U.S. dollars.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sales to government entities are subject to a number of additional challenges and risks.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expect to increase our sales to U.S. federal and state and foreign governmental agency customers. For example, we announced in May 2019 that we received authorization under the U.S. Federal Risk and Authorization Management Program (“FedRAMP”) that allows U.S. federal government agencies and contractors to securely use our Zoom for Government offering. The additional risks and challenges associated with doing business with governmental entities include, but are not limited to, the following:</w:t>
      </w:r>
    </w:p>
    <w:p>
      <w:pPr>
        <w:spacing w:after="0" w:line="79" w:lineRule="exact"/>
        <w:rPr>
          <w:sz w:val="20"/>
          <w:szCs w:val="20"/>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to governmental entities can be more competitive, expensive, and time-consuming than selling to private entities, often requiring significant up-front time and expense without any assurance that these efforts will generate a sale;</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government certification requirements may change, or we may be unable to achieve or sustain one or more government certifications, including FedRAMP, and in doing so restrict our ability to sell into the government sector until we have attained such certificates;</w:t>
      </w:r>
    </w:p>
    <w:p>
      <w:pPr>
        <w:spacing w:after="0" w:line="38"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governmental entities may have significant leverage in negotiations, thereby enabling such entities to demand contract terms that differ from what we generally agree to in our standard agreements, including, for example, most-favored-nation clauses;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demand and payment for our products may be influenced by public sector budgetary cycles and funding authorizations, with funding reductions or delays having an adverse impact on public sector demand for our products.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 the extent that we become more reliant on contracts with government entities in the future, our exposure to such risks and challenges could increase, which in turn could adversely impact our business.</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7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not perform as expected,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or do not perform as expected, we may fail to generate sufficient revenue, operating margin, or other value to justify our investments in such products, any of which may harm our business in the short term, long term, or both. In addition, our current products, as well as products, features, and functionality that we may introduce in the future, may require us to compensate or reimburse third parties. For example, our cloud phone system, Zoom Phone, is a PBX phone solution that requires us to compensate carriers that operate the PSTN. As a result, a portion of the payments that we will receive from customers that will use our Zoom Phone product will be allocated towards compensating these telephone carriers, which lowers our margins for Zoom Phone as compared to our other products. In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124" w:lineRule="exact"/>
        <w:rPr>
          <w:sz w:val="20"/>
          <w:szCs w:val="20"/>
          <w:color w:val="auto"/>
        </w:rPr>
      </w:pPr>
    </w:p>
    <w:p>
      <w:pPr>
        <w:jc w:val="both"/>
        <w:ind w:right="20" w:firstLine="486"/>
        <w:spacing w:after="0" w:line="375" w:lineRule="auto"/>
        <w:rPr>
          <w:sz w:val="20"/>
          <w:szCs w:val="20"/>
          <w:color w:val="auto"/>
        </w:rPr>
      </w:pPr>
      <w:r>
        <w:rPr>
          <w:rFonts w:ascii="Arial" w:cs="Arial" w:eastAsia="Arial" w:hAnsi="Arial"/>
          <w:sz w:val="15"/>
          <w:szCs w:val="15"/>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 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harm our business.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expense; changes in the valuation of, or our ability to use, deferred tax assets; the applicability of withholding taxes and effects from acquisitions.</w:t>
      </w:r>
    </w:p>
    <w:p>
      <w:pPr>
        <w:spacing w:after="0" w:line="80"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provision for taxes on our consolidated financial statements could also be impacted by changes in accounting principles; changes in U.S. federal, state, or international tax laws applicable to corporate multinationals, such as the recent legislation enacted in the United States, other fundamental changes in law currently being considered by many countries; and changes in taxing jurisdictions’ administrative interpretations, decisions, policies, and positions. In addition, we are subject to review and audit by U.S. federal, state, local, and foreign tax authorities. Such tax authorities may disagree with tax positions we take, and if any such tax authority were to successfully challenge any such position, our business could be harmed.</w:t>
      </w:r>
    </w:p>
    <w:p>
      <w:pPr>
        <w:spacing w:after="0" w:line="53"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may also be subject to additional tax liabilities due to changes in non-income-based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 Further, the Organization for Economic Co-operation and Development ("OECD") and the Inclusive Framework of G20 and other countries have issued proposals related to the taxation of the digital economy. In addition, several countries have proposed of enacted Digital Services Taxes ("DST"), many of which would apply to revenues derived from digital services. Future developments related to such proposals, in particular any unilateral actions outside of the OECD's Inclusive Framework such as the imposition of DST rules, could have an adverse impact on our business by increasing our future tax obligations.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As of January 31, 2021, we had $1,264.3 million of U.S. federal and $797.0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legislative changes made in December 2017, as modified by the federal tax law changes enacted in March 2020, U.S. federal net operating losses incurred in tax years beginning after December 31, 2017 and in future years may be carried forward indefinitely, but, for tax years beginning after December 31, 2020, the deductibility of such net operating losses is limited. In addition, the federal and state net operating loss carryforwards and certain tax credits may be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review and have determined that none of the operating losses will expire solely due to Section 382 limitation(s). However, we may experience ownership changes in the future as a result of future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5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addition, for state income tax purposes, there may be periods during which the use of net operating losses is suspended or otherwise limited, including a recent California franchise tax law change limiting the usability of California state net operating losses to offset California taxable income in taxable years beginning on or after January 1, 2020 and before January 1, 2023, which could accelerate or permanently increase state taxes owed.</w:t>
      </w:r>
    </w:p>
    <w:p>
      <w:pPr>
        <w:spacing w:after="0" w:line="4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recorded a valuation allowance against all of our deferred tax assets for the U.S. and U.K. as of both January 31, 2021 and January 31, 2020. We intend to continue maintaining a full valuation allowance on our deferred tax assets until there is sufficient evidence to support the reversal of all or some portion of these allowances. In our valuation allowance evaluation, we give more weight to evidence that can be objectively verified than to evidence that cannot be objectively verified. Our consideration of the evidence requires management to make a number of significant judgments, estimates, and assumptions about highly complex and inherently uncertain matters. Given our current earnings and anticipated future earnings, we believe that there is a reasonable possibility that in the foreseeable future, sufficient positive evidence may become available that results in a conclusion that a portion of the valuation allowance will no longer be needed. Release of the valuation allowance would result in the recognition of certain deferred tax assets and a decrease to income tax expense for the period the release is recorded. However, the exact timing and amount of the valuation allowance release are subject to change on the basis of the level of profitability (pretax income adjusted for permanent differences) that we are able to actually achieve.</w:t>
      </w:r>
    </w:p>
    <w:p>
      <w:pPr>
        <w:spacing w:after="0" w:line="16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have acquired and may continue to acquire other businesses or receive offers to be acquired, which could require significant management attention, disrupt our business, or dilute stockholder value.</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have made and may continue in the future to make acquisitions of other companies, products, and technologies. For example, we announced our acquisition of Keybase Inc in May 2020.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 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at the current scale of our business, which makes it difficult to evaluate our prospects and future results of operations.</w:t>
      </w:r>
    </w:p>
    <w:p>
      <w:pPr>
        <w:spacing w:after="0" w:line="6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Beginning in the fiscal quarter ended April 30, 2020, we faced unprecedented usage of our video-first unified communications platform largely due to the COVID-19 pandemic. This usage dramatically changed the scale of our business, and we have a limited operating history at the current scale of our business. As a result, our ability to forecast our future results of operations is limited and subject to a number of uncertainties, including our ability to plan for and model future growth and expenses.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The COVID-19 pandemic has also made it difficult to forecast revenue, costs, and expenses, as our platform has recently faced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unprecedented usage from free users and new and existing customers, requiring us to devote significant resources to bolster our capacity and infrastructure.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The actual or perceived failure by us, our customers, partners or vendors to comply with stringent and evolving privacy, data protection, and information security laws, regulations, standards, policies, and contractual obligations could harm our reputation and business or subject us to significant fines and liability.</w:t>
      </w:r>
    </w:p>
    <w:p>
      <w:pPr>
        <w:spacing w:after="0" w:line="76"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We receive, store, process, generate, use, and share personal information and other customer and user content necessary to provide our service and ensure it is delivered effectively, to operate our business, for legal and marketing purposes, and for other business-related purposes. There are numerous federal, state, local, and international laws and regulations regarding privacy, data protection, information security and the collection, storing, sharing, use, processing, transfer, disclosure, and protection of personal information and other content, the scope of which is changing, subject to differing applications and interpretations and may be inconsistent among countries, or conflict with other rules. We are also subject to the terms of our privacy policies and contractual obligations to third parties related to privacy, data protection, and information security. We strive to comply with applicable laws, certifications, documentation, publications, regulations, standards, policies and other obligations relating to privacy, data protection, and information security to the extent possible. Although we endeavor to comply with applicable laws and our policies, publications, certifications, and documentation, and other obligations, we may at times fail to do so or may be perceived to have failed to do so. Moreover, despite our efforts, we may not be successful in achieving compliance if our employees, vendors or business partners do not comply with our policies, certifications, and documentation. Such actual or perceived failures in certain cases have subjected, and can subject, us to potential international, local, state and federal legal or regulatory action, including in the event that our policies, certifications, and documentation are found or alleged to be inaccurate, incomplete, deceptive, unfair, or misrepresentative of our actual practices. The regulatory framework for privacy and data protection worldwide is, and is likely to remain, uncertain for the foreseeable future, which we expect will increase our compliance costs and exposure to liability, and it is possible that these or other actual or alleged obligations may be interpreted and applied in a manner that is inconsistent from one jurisdiction to another and may conflict with other rules or our practices. Increased usage of our services, novel uses of our services, and additional awareness of Zoom and our brand stemming from the COVID-19 pandemic could make it more difficult for us to comply with our contractual obligations, our policies, our publications, our certifications, our documentation, standards, regulations, and applicable laws related to privacy, data protection, and information security, and has and could result in greater public scrutiny of, press related to, or a negative perception of our</w:t>
      </w:r>
    </w:p>
    <w:p>
      <w:pPr>
        <w:spacing w:after="0" w:line="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privacy, data protection, and information security practices. Any compliance failure, as well as greater public scrutiny of our privacy, data protection, and information security practices, could result in increased governmental and regulatory scrutiny and litigation exposure, as well as material reputational harm, a loss of customer and user confidence and business, additional expenses, and other harm to our business.</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For example, in June 2020 we received a grand jury subpoena from the Department of Justice’s U.S. Attorney’s Office for EDNY, which requested information regarding our interactions with foreign governments and foreign 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 as well as material reputational harm, a loss of customer and user confidence and business, additional expenses, and other harm to our business.</w:t>
      </w:r>
    </w:p>
    <w:p>
      <w:pPr>
        <w:spacing w:after="0" w:line="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also expect that there will continue to be new or amended laws, regulations, industry standards, guidance and contractual obligations concerning privacy, data protection, and information security proposed and enacted in various jurisdictions. For example, in May 2018, the General Data Protection Regulation (“GDPR”) went into effect in the EU. The GDPR imposes more stringent data protection requirements and requires us and our customers to give more detailed disclosures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about how we collect, use and share personal information; contractually commit to data protection measures in our contracts with clients;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The GDPR provides greater penalties for noncompliance than previous data protection laws. Companies that violate the GDPR can face private litigation, restrictions on data processing, and fines of up to the greater of 20 million Euros or 4% of their worldwide annual revenue. Our or our customers’, partners’, or vendors’ failure to comply with the GDPR could lead to significant fines imposed by regulators or restrictions on our ability to process personal information as needed to provide our product and services. We may also be obligated to assist our customers, partners, and vendors with their own compliance obligations under the GDPR, which could require expenditure of significant resources. Assisting our customers, partners, and vendors in complying with the GDPR, or complying with the GDPR ourselves, may cause us to incur substantial operational costs or require us to change our business practices.</w:t>
      </w:r>
    </w:p>
    <w:p>
      <w:pPr>
        <w:spacing w:after="0" w:line="8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Further, the U.K.'s decision to leave the EU, often referred to as Brexit, has created uncertainty in data protection issues involving the U.K. For example, pursuant to a post-Brexit trade deal between the U.K. and the EU, transfers of personal information from the European Economic Area to the U.K. are not considered restricted transfers under the GDPR for a period of up to six months from January 1, 2021. However, unless the EU Commission makes an adequacy finding with respect to the U.K. before the end of that period, the U.K. will be considered a “third country” under the GDPR and transfers of European personal information to the U.K. will require an adequacy mechanism to render such transfers lawful under the GDPR. Additionally, although the U.K. enacted a Data Protection Act in May 2018 that is designed to be consistent with the GDPR, uncertainty remains regarding how data transfers to and from the U.K. will be regulated notwithstanding Brexit. The effects of Brexit have been and are expected to continue to be far-reaching. Brexit and the perceptions as to its impact may adversely affect business activity and economic conditions globally, and could continue to contribute to instability in global financial markets. Brexit could also have the effect of disrupting the free movement of goods, services, and people between the U.K. and the EU. In addition, Brexit could lead to legal uncertainty and potentially divergent national laws and regulations as the U.K. determines which EU laws to replace or replicate. The full effects of Brexit are uncertain and will remain so until the U.K. and EU reach a definitive resolution with regards to outstanding trade and legal matters. Given these possibilities and others we may not anticipate, as well as the lack of comparable precedent, the full extent to which our business, results of operations, and financial condition could be adversely affected by Brexit is uncertain.</w:t>
      </w:r>
    </w:p>
    <w:p>
      <w:pPr>
        <w:spacing w:after="0" w:line="66"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European data protection laws, including the GDPR, generally restrict the transfer of personal information from Europe, including the European Economic Area, U.K. and Switzerland, to the United States and most other countries unless the parties to the transfer have implemented specific safeguards to protect the transferred personal information. One of the primary safeguards allowing U.S. companies to import personal information from Europe has been certification to the EU-U.S. Privacy Shield and Swiss-U.S. Privacy Shield frameworks administered by the U.S. Department of Commerce. However, in July 2020, the Court of Justice of the European Union issued a decision invalidating the EU-U.S. Privacy Shield framework. The same decision also raised questions about whether one of the primary alternatives to the EU-U.S. Privacy Shield, namely, the European Commission’s Standard Contractual Clauses, can lawfully be used for personal information transfers from Europe to the United States or most other countries. Similarly, on September 8, 2020, the Swiss Federal Data Protection and Information Commissioner announced that the Swiss-U.S. Privacy Shield Framework is inadequate for personal information transfers from Switzerland to the United States, and also raised questions about the viability of the Standard Contractual Clauses. At present, there are few, if any, viable alternatives to the EU-U.S. Privacy Shield, Swiss-U.S. Privacy Shield, and the Standard Contractual Clauses, all of which are mechanisms on which we have relied for personal information transfers from Europe to the United States and other countries. Authorities in the U.K. may similarly invalidate use of the EU-U.S. Privacy Shield and raise questions on the viability of the Standard Contractual Clauses, as mechanisms for lawful personal information transfers to the United States and other countries. In November 2020, EU regulators proposed a new set of Standard Contractual Clauses (“SCCs”). The new SCCs impose additional obligations and requirements with respect to the transfer of EU personal data to other jurisdictions, which may increase the legal risks and liabilities under the GDPR and local EU laws associated with cross-border data transfers, and result in material increased compliance and operational costs. If we are unable to implement a valid solution for personal information transfers from Europe, we will face increased exposure to regulatory actions, substantial fines, and injunctions against processing or transferring personal information from Europe, and we may be required to increase our data processing capabilities in Europe at significant expense. Inability to import personal information from Europe to the United States or other countries may decrease demand for our products and services as our customers that are subject to the GDPR may seek alternatives that do not involve personal information transfers out of Europe. Our inability to import personal information to the United States and other countries may decrease the functionality or effectiveness of our products and services and adversely impact our marketing efforts, plans and activities. We expect EU regulators to aggressively enforce EU laws prohibiting data transfers to the U.S. and other countries without a legally sound transfer mechanism, and it possible that EU regulators could prevent Zoom from transferring any personal data out of the EU to certain countries like the U.S.</w:t>
      </w:r>
    </w:p>
    <w:p>
      <w:pPr>
        <w:spacing w:after="0" w:line="6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Additionally, other countries outside of Europe have enacted or are considering enacting similar cross-border data transfer restrictions and laws requiring local data residency and restricting cross-border data transfer, which could increase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and complexity of delivering our services and operating our business. For example, Brazil recently enacted the General Data Protection Law (Lei Geral de Proteção de Dados Pessoais or LGPD) (Law No. 13,709/2018), which broadly regulates the processing of personal information and imposes compliance obligations and penalties comparable to those of the GDPR.</w:t>
      </w:r>
    </w:p>
    <w:p>
      <w:pPr>
        <w:spacing w:after="0" w:line="7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States have also begun to introduce more comprehensive privacy legislation. For example, the California Consumer Privacy Act of 2018 (“CCPA”), which went into effect on January 1, 2020, affords consumers expanded privacy protections. The CCPA gives California residents, among other things,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will be expanded substantially on January 1, 2023 when the California Privacy Rights Act of 2020 (the “CPRA”), which was approved by California voters in November 2020, becomes fully operative. The CPRA will, among other things, give consumers the ability to limit use of information deemed to be sensitive, increase the maximum penalties for violations concerning consumers under age 16, establish the California Privacy Protection Agency to implement and enforce the new law, and impose administrative fines. Aspects of the CCPA and CPRA, and their interpretation and enforcement remain uncertain. The potential effects of the CCPA and CPRA are far-reaching and may require us to modify our data processing practices and policies and to incur substantial costs and expenses in an effort to comply.</w:t>
      </w:r>
    </w:p>
    <w:p>
      <w:pPr>
        <w:spacing w:after="0" w:line="6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CCPA could mark the beginning of a trend toward more stringent privacy legislation in the United States, as other states may follow California’s lead and increase protections for their residents. The CCPA has already prompted a number of proposals for new federal and state privacy legislation that, if passed, could increase our potential liability, increase our compliance costs and adversely affect our business. In addition, effective October 1, 2019, Nevada amended its existing Security of Personal Information Law (“SPI Law”) to now require, among other things, that businesses provide an online mechanism or toll-free phone number to intake requests from consumers to opt out of the sale of their personal data. Virginia has similarly enacted a comprehensive privacy law, the Consumer Data Protection Act, which emulates the CCPA and CPRA in many respects and takes effect on January 1, 2023.</w:t>
      </w:r>
    </w:p>
    <w:p>
      <w:pPr>
        <w:spacing w:after="0" w:line="56"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The Children’s Online Privacy Protection Act (“COPPA”) is a U.S. Federal law that applies to operators of commercial websites and online services directed to U.S. children under the age of 13 that collect personal information from children, and to operators of general audience websites with actual knowledge that they are collecting personal information from U.S. children under the age of 13. We provide video communications services to schools, school districts, and school systems to support traditional, virtual, and hybrid classrooms, distance learning, educational office hours, guest lectures, and other services. As part of these services, Zoom may be used by students, including students under the age of 13, and we collect personal information from such students on behalf of our school subscribers. School subscribers must contractually consent to Zoom’s information practices on behalf of students, prior to students using the services. In addition, the GDPR prohibits certain processing of the personal information of children under the age of 13-16 (depending on the country) without parental consent. The CCPA requires companies to obtain the consent of children in California under 16 (or parental consent for children under 13) before selling their personal information. COPPA is subject to interpretation by courts and other governmental authorities, including the FTC, and the FTC is authorized to promulgate, and has promulgated, revisions to regulations implementing provisions of COPPA. Although we strive to ensure that our platform and applications are compliant with applicable provisions of COPPA, HIPAA, GDPR, and CCPA, these provisions may be modified, interpreted, or applied in new manners that we may be unable to anticipate or prepare for appropriately, and we may incur substantial costs or expenses in attempting to modify our systems, platform, applications, or other technology to address changes in COPPA, HIPAA, GDPR, and CCPA, or interpretations thereof. If we fail to accurately anticipate the application, interpretation, or legislative expansion of COPPA, HIPAA, GDPR, and CCPA, we could be subject to governmental enforcement actions, data processing restrictions, litigation, fines and penalties, adverse publicity or loss of customers. Moreover, as a result of any such failures, we could be in breach of our K-12 school customer contracts, and our customers could lose trust in us, which could harm our reputation and business.</w:t>
      </w:r>
    </w:p>
    <w:p>
      <w:pPr>
        <w:spacing w:after="0" w:line="284"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With laws and regulations, such as the GDPR in the EU as well as the CCPA, SPI Law, HIPAA, and COPPA in the United States imposing relatively burdensome obligations, and with substantial uncertainty over the interpretation and application of these and other laws and regulations, we have faced and may face additional challenges in addressing their requirements and making necessary changes to our policies and practices, and may incur significant costs and expenses in an effort to do so, any of which could materially adversely affect our business and operating results. Additional uses of our services arising out of increased demand associated with the COVID-19 pandemic may require us to address additional privacy, data protection, and information security laws, regulations, standards, policies, and contractual obligations. Any failure or perceived failure by us to comply with such laws, regulations, standards, policies, and contractual obligations, or our privacy policies, publications, certifications, or documentation have led and could lead to governmental investigations or enforcement actions (including investigations or actions by state attorneys general, federal regulators, and international regulators), litigation (including class action litigation), claims, or public statements against us by consumer advocacy groups or others, and could result in significant liability, fines or penalties, or cause our users to lose trust in us, which could have an adverse effect on our reputation and business.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We have in the past and may in the future receive inquiries or be subject to investigations by domestic and international government entities regarding, among other things, our privacy, data protection, and information security practices. The result of these proceedings could impact our brand reputation, subject us to monetary remedies and costs, interrupt or require us to change our business practices, divert resources and the attention of management from our business, or subject us to other remedies that adversely affect our business. We also face litigation regarding our privacy and security practices, including alleged data sharing with third parties, in various jurisdictions. See Part I, Item 3 “Legal Proceedings” for additional information.</w:t>
      </w:r>
    </w:p>
    <w:p>
      <w:pPr>
        <w:spacing w:after="0" w:line="5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also have been the subject of an investigation by the FTC relating to our privacy and security representations and practices. We have reached a settlement agreement with the FTC, which the FTC voted to make final on January 19, 2021. See Part I, Item 3 “Legal Proceedings” for additional information. We could fail or be perceived to fail to comply with the terms of the settlement with the FTC or any other orders or settlements relating to litigation or governmental investigations with respect to our privacy and security practices. Any failure or perceived failure to comply with such orders or settlements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Furthermore, the costs of compliance with, and other burdens imposed by, the laws, regulations, policies, and other obligations that are applicable to the businesses of our users may limit the adoption and use of, and reduce the overall demand for, our platform and services, which could have an adverse impact on our business.</w:t>
      </w:r>
    </w:p>
    <w:p>
      <w:pPr>
        <w:spacing w:after="0" w:line="88"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Additionally, we rely on the administrators of our customers in the healthcare and education industries to obtain the necessary consents from users of our products and services and to ensure their account settings are configured correctly for their compliance under applicable laws and regulations, including HIPAA. Furthermore, if third parties we work with, such as vendors or developers, make misrepresentations, violate applicable laws and regulations, or our policies, such misrepresentations and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provide or develop new services and features.</w:t>
      </w:r>
    </w:p>
    <w:p>
      <w:pPr>
        <w:spacing w:after="0" w:line="5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Increased usage of our services and additional awareness of Zoom and our brand stemming from the COVID-19 pandemic has led to greater public scrutiny of, press related to, or a negative perception of our collection, use, storage, disclosure, and processing of personal information, and our privacy policies and practices. For example, users and customers, particularly those that are new to Zoom, may not have significant IT or security knowledge or have their own IT controls like those of a larger organization to configure our service in a manner that provides them with control over user settings. This has resulted in reports of users and customers experiencing meeting disruptions by malicious actors. Additional unfavorable publicity and scrutiny has led to increased governmental and regulatory scrutiny and litigation exposure, and could result in material reputational harm, a loss of customer and user confidence, additional expenses and other harm to our business.</w:t>
      </w:r>
    </w:p>
    <w:p>
      <w:pPr>
        <w:spacing w:after="0" w:line="17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Changes in government trade policies, including the imposition of tariffs and export restrictions, could limit our ability to sell our products to certain customers, which may materially adversely affect our sales and results of operations.</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U.S. or foreign governments may take administrative, legislative, or regulatory action that could materially interfere with our ability to sell products in certain countries. For example, while we stopped selling our products directly in China during the six months ended July 31, 2020, the prior U.S. administration had threatened tougher trade terms with China and other countries, leading to the imposition, or announcement of future imposition, of substantially higher U.S. Section 301 tariffs on roughly $500 billion of imports from China. In response, China imposed and proposed new or higher tariffs on U.S. products. The direct and indirect effects of tariffs and other restrictive trade policies are difficult to measure and are only one part of a larger U.S./China economic and trade policy disagreement. The effects of tariffs are uncertain because of the dynamic nature of governmental action and responses.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that restrict our ability to operate in China. We cannot predict what actions may ultimately be taken by the new U.S. administration with respect to tariffs or trade relations between the United States and China or other countries, what products may be subject to such actions, or what actions may be taken by the other countries in retaliation. Any further deterioration in the relations between the United States and China could exacerbate these actions and other governmental intervention. For example, the implementation of China’s national-security law in Hong Kong has created additional U.S.-China tensions and could potentially increase the risks associated with the business and operations of U.S.-based technology companies in China. Any alterations to our business strategy or operations made in order to adapt to or comply with any such changes would be time-consuming and expensive, and certain of our competitors may be better suited to withstand or react to these changes.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Further, in May 2019, former President Trump issued an executive order that invoked national emergency economic powers to implement a framework to regulate the acquisition or transfer of information communications technology in transactions that imposed undue national security risks. The executive order is subject to implementation by the Secretary of Commerce and applies to contracts entered into prior to the effective date of the order. In addition, the U.S. Commerce Department has implemented additional restrictions and may implement further restrictions that would affect conducting business with certain Chinese companies. Due to the uncertainty regarding the timing, content, and extent of any such changes in policy, we cannot assure you that we will successfully mitigate any negative impact. Depending upon their duration and implementation, these tariffs, the executive order and its implementation, and other regulatory actions could materially affect our business, including in the form of increased cost of revenue, decreased margins, increased pricing for customers, and reduced sales.</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6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may be subject to liabilities on past sales for taxes, surcharges, and fees.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currently collect and remit applicable indirect taxes in jurisdictions where we, through our employees, have a presence and where we have determined, based on legal precedents in the jurisdiction, that sales of our platform are classified as taxable.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w:t>
      </w:r>
    </w:p>
    <w:p>
      <w:pPr>
        <w:spacing w:after="0" w:line="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Taxing authorities may challenge our position that we do not have sufficient nexus in a taxing jurisdiction or that our platform is not taxable in the jurisdiction which could result in increased tax liabilities for us or our customers and hosts, which could harm our business.</w:t>
      </w:r>
    </w:p>
    <w:p>
      <w:pPr>
        <w:spacing w:after="0" w:line="62"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 xml:space="preserve">The application of indirect taxes (such as sales tax, use tax, telecommunications tax, VAT, GST, and gross receipts tax) to businesses that transact online, such as ours, is a complex and evolving area. Following the recent U.S. Supreme Court decision in </w:t>
      </w:r>
      <w:r>
        <w:rPr>
          <w:rFonts w:ascii="Arial" w:cs="Arial" w:eastAsia="Arial" w:hAnsi="Arial"/>
          <w:sz w:val="17"/>
          <w:szCs w:val="17"/>
          <w:i w:val="1"/>
          <w:iCs w:val="1"/>
          <w:color w:val="auto"/>
        </w:rPr>
        <w:t>South Dakota v. Wayfair, Inc.</w:t>
      </w:r>
      <w:r>
        <w:rPr>
          <w:rFonts w:ascii="Arial" w:cs="Arial" w:eastAsia="Arial" w:hAnsi="Arial"/>
          <w:sz w:val="17"/>
          <w:szCs w:val="17"/>
          <w:color w:val="auto"/>
        </w:rPr>
        <w:t>,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jurisdictions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and have accrued $58.1 million and $34.0 million as of January 31, 2021 and 2020, respectively, for loss contingencies resulting from these potential taxes and liabilities. The application of existing, new, or future laws, whether in the United States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18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6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U.S.-embargoed or U.S.-sanctioned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Although we have taken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submitted initial and final voluntary self-disclosures concerning potential violations of U.S. sanctions and export control laws and regulations to OFAC and the U.S. Department of Commerce’s Bureau of Industry and Security (“BIS”).</w:t>
      </w:r>
    </w:p>
    <w:p>
      <w:pPr>
        <w:spacing w:after="0" w:line="5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June 2019, OFAC and BIS issued us warning letters as their final enforcement responses to these potential violations, but no fines or penalties were assessed. If we are found to be in violation of U.S. economic sanctions or export control laws in the future,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6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19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may be subject to, or assist law enforcement with enforcement of, various laws, including those covering copyright, indecent content, child protection, consumer protection, telecommunications services, taxation, and similar matters. It may be difficult, expensive and disruptive for us to address law enforcement requests, subpoenas and other legal process, and laws in various jurisdictions may conflict and hamper our ability to satisfy or comply with such requests, subpoenas and other legal process. There have been instances where improper or illegal content has been shared on our platform without our knowledge. As a service provider and as a matter of policy, we do not monitor user meetings. However, to ensure user safety and prevent conduct that is illegal, violent or harmful to others, we enforce our terms of service through use of a mix of tools that suggest when such activity may be occurring on our platform. We also recently created an in-product security feature that allows the host or co-host of a meeting to easily select a meeting participant that may be engaging in illegal or harmful behavior and send a report about that behavior to our trust and safety team for evaluation. Our trust and safety team may take further action as appropriate, including suspension or termination of the participant's account or referral to law enforcement. While to date we have not been subject to material legal or administrative actions as a result of improper or illegal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6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are also subject to consumer protection laws that may affect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7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are also subject to various U.S. and international anti-corruption laws, such as the U.S. Foreign Corrupt Practices Act of 1977, amended, and the U.K. Bribery Act 2010, as well as other similar anti-bribery and anti-kickback laws and regulations. These laws and regulations generally prohibit companies and their employees and intermediaries from authorizing, offering, or providing improper payments or benefits to government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Federal Regulation</w:t>
      </w:r>
    </w:p>
    <w:p>
      <w:pPr>
        <w:spacing w:after="0" w:line="11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access charges for long distance services,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 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8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Changes in FCC regulation of the internet and internet-based services also could impose new regulatory obligations on our other services. On October 27, 2020, the FCC adopted an order concluding that three issues remanded by the U.S. Court of Appeals following the appeal of its 2018 decision to eliminate its network neutrality rules did not provide a basis to alter its conclusions in that order. Petitions for reconsideration of this decision are pending. Democratic control of the Executive Branch, Congress, and the FCC following the 2020 elections increases the likelihood of legislative or FCC action to reverse the 2018 decision or adopt new network neutrality rules. Such action could result in extension of common carrier regulation to internet-based communications services like the ones we offer. The imposition of common carrier regulation would increase our costs, and we could be required to modify our service offerings to comply with regulatory requirements. The failure to comply with such regulation could result in substantial fines and penalties and other sanctions.</w:t>
      </w:r>
    </w:p>
    <w:p>
      <w:pPr>
        <w:spacing w:after="0" w:line="8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There have been various Congressional and executive efforts to eliminate or modify Section 230 of the Communications Act of 1934, enacted as part of the Communications Decency Act of 1996. President Biden and many Members of Congress from both parties support reform or repeal of Section 230, so the possibility of Congressional action remains. In addition, the FCC is considering a petition, filed by the Trump Administration, to adopt rules interpreting Section 230, which limits the liability of internet platforms for third-party content that is transmitted via those platforms and for good-faith moderation of offensive content. No date has been set for a vote on that proposal and the FCC has not released any document describing the rules that would be proposed. The Democratic members of the FCC have indicated that they are opposed to the petition and now control the agenda of the FCC. If Congress revises or repeals Section 230 or the FCC adopts rules, we may no longer be afforded the same level of protection offered by Section 230. This would increase the risks faced by internet-based businesses, like Zoom, that rely on third-party content. There is no schedule for action by the FCC on the petition.</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State Regulation</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International Regulation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we expand internationally, we may be subject to telecommunications, consumer protection, privacy, data protection, and other laws and regulations in the foreign countries where we offer our products.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62"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Some companies, including some of our competitors, own large numbers of patents, copyrights, and trademarks, which they may use to assert claims against us.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While we intend to defend these lawsuits vigorously and believe that we have valid defenses to these claims, litigation can be costly and time consuming, divert the attention of our management and key personnel from our business operations and dissuade potential customers from subscribing to our services, which would harm our business. Furthermore, with respect to these lawsuits, there can be no assurances that favorable outcomes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In addition, our agreements with certain larger customers include certain provisions for indemnifying them against liabilities if our services infringe a third party’s intellectual property rights, which could require us to make payments to our customers.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failure to protect our intellectual property rights and proprietary information could diminish our brand and other intangible assets.</w:t>
      </w:r>
    </w:p>
    <w:p>
      <w:pPr>
        <w:spacing w:after="0" w:line="140"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the laws of certain foreign countries do not provide the same level of protection of corporate proprietary information and assets such as intellectual property, trademarks, trade secrets, know-how, and records, as the laws of the United States. For instance, the legal systems of certain countries, particularly certain developing countries, do not favor the enforcement of patents and other intellectual property protection. As a result, we may encounter significant problems in protecting and defending our intellectual property or proprietary rights abroad. Additionally, we may also be exposed to material risks of theft or unauthorized reverse engineering of our proprietary information and other intellectual property, including technical data, manufacturing processes,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62"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We have incorporated, and may in the future incorporate, third-party open source software in our technologies.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use tools designed to help us monitor and comply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publicly release certain portions of our proprietary source code. We could also be required to expend substantial time and resources to re-engineer some of our software. Any of the foregoing could disrupt and harm our business.</w:t>
      </w:r>
    </w:p>
    <w:p>
      <w:pPr>
        <w:spacing w:after="0" w:line="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trading price of our Class A common stock has been and will likely continue to be volatile and could be subject to fluctuations in response to various factors, some of which are beyond our control. For example, in connection with the COVID-19 pandemic, we have experienced an increase in the usage of our unified communications platform, and as a result, the trading price of our Class A common stock has significantly increased, while at the same time, the broader market has experienced significant declines and volatility. There are no assurances that the trading price of our Class A common stock will continue at this level for any period of time. Moreover, the trading price of our Class A common stock could experience a significant decrease once the scope and impact of the COVID-19 pandemic is better understood. These fluctuations could cause you to lose all or part of your investment in our Class A common stock. Factors that could cause fluctuations in the trading price of our Class A common stock include the following:</w:t>
      </w:r>
    </w:p>
    <w:p>
      <w:pPr>
        <w:spacing w:after="0" w:line="5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addition, in the past, following periods of volatility in the overall market and in the market price of a particular company’s securities, securities class action litigation has often been instituted against these companies. For example, in April and June 2020, we and certain of our officers and directors were sued in putative class action lawsuits and purported shareholder derivative lawsuits alleging violations of the federal securities laws for allegedly making materially false and misleading statements about our data privacy and security measures. We may be the target of additional litigation of this type in the future. Securities litigation against us could result in substantial costs and divert our management’s time and attention from other business concerns, which could harm our business. We may be the target of additional litigation of this type in the future as well. Securities litigation against us could result in substantial costs and a diversion of our management’s attention and resources.</w:t>
      </w:r>
    </w:p>
    <w:p>
      <w:pPr>
        <w:spacing w:after="0" w:line="17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our IPO, including our executive officers, employees, and directors and their affiliates, limiting your ability to influence corporate matters.</w:t>
      </w:r>
    </w:p>
    <w:p>
      <w:pPr>
        <w:spacing w:after="0" w:line="7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As of March 9, 2021, the holders of our outstanding Class B common stock held 71.3% of the voting power of our outstanding capital stock, with our directors, executive officers and 5% stockholders and their respective affiliates holding 61.6% of such voting power in the aggregate. As of March 9, 2021, our founder, President and Chief Executive Officer, Eric S. Yuan, together with his affiliates, held approximately 8.4% of our outstanding capital stock but controlled approximately 30.1% of the voting power of our outstanding capital stock. Therefore, these holders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is six months following the date that Mr. Yuan is no longer providing services to us or his employment is terminated for cause, (iii) the date specified by the holders of a majority of the then outstanding shares of Class B common stock, voting as a separate class, and (iv) the 15-year anniversary of the closing of our IPO.</w:t>
      </w:r>
    </w:p>
    <w:p>
      <w:pPr>
        <w:spacing w:after="0" w:line="6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4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dual-class capital structure would make us ineligible for inclusion in any of these indices,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6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62"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Sales of a substantial number of shares of our Class A common stock and Class B common stock (after automatically converting to Class A common stock) in the public market, or the perception that these sales might occur, could depress the market price of our Class A common stock.</w:t>
      </w:r>
    </w:p>
    <w:p>
      <w:pPr>
        <w:spacing w:after="0" w:line="3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(“RSU”) awards are available for immediate resale in the United States in the open market.</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Sales of our shares could also impair our ability to raise capital through the sale of additional equity securities in the future and at a price we deem appropriate. These sales could also cause the trading price of our Class A common stock to fall and make it more difficult for you to sell shares of our Class A common stock.</w:t>
      </w:r>
    </w:p>
    <w:p>
      <w:pPr>
        <w:spacing w:after="0" w:line="184"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are provisions in our certificate of incorporation and bylaws that may make it difficult for a third party to acquire, or attempt to acquire, control of Zoom, even if a change in control was considered favorable by our stockholders.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charter documents also contain other provisions that could have an anti-takeover effect, such as:</w:t>
      </w:r>
    </w:p>
    <w:p>
      <w:pPr>
        <w:spacing w:after="0" w:line="117" w:lineRule="exact"/>
        <w:rPr>
          <w:sz w:val="20"/>
          <w:szCs w:val="20"/>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a classified board of directors so that not all members of our board of directors are elected at one time;</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permitting the board of directors to establish the number of directors and fill any vacancies and newly created directorships;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providing that directors may only be removed for cause;</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prohibiting cumulative voting for directors;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certificate of incorporation and bylaws;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authorizing the issuance of “blank check” preferred stock that our board of directors could use to implement a stockholder rights plan;</w:t>
      </w:r>
    </w:p>
    <w:p>
      <w:pPr>
        <w:spacing w:after="0" w:line="140" w:lineRule="exact"/>
        <w:rPr>
          <w:rFonts w:ascii="Arial" w:cs="Arial" w:eastAsia="Arial" w:hAnsi="Arial"/>
          <w:sz w:val="16"/>
          <w:szCs w:val="16"/>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eliminating the ability of stockholders to call special meetings of stockholders;</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requires all stockholder actions to be taken at a meeting of our stockholders; and</w:t>
      </w:r>
    </w:p>
    <w:p>
      <w:pPr>
        <w:spacing w:after="0" w:line="140" w:lineRule="exact"/>
        <w:rPr>
          <w:rFonts w:ascii="Arial" w:cs="Arial" w:eastAsia="Arial" w:hAnsi="Arial"/>
          <w:sz w:val="16"/>
          <w:szCs w:val="16"/>
          <w:color w:val="auto"/>
        </w:rPr>
      </w:pPr>
    </w:p>
    <w:p>
      <w:pPr>
        <w:ind w:left="1300" w:hanging="48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dual-class common stock structure as described above.</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limit the opportunity for our stockholders to receive a premium for their shares of our Class A common stock and could also affect the price that some investors are willing to pay for our Class A common stock.</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57"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7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results of operations.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returns on their investment.</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Estimates of our market opportunity and forecasts of market growth may prove to be inaccurate, and even if the market in which we compete achieves the forecasted growth, our business could fail to grow at similar rates, if at all.</w:t>
      </w:r>
    </w:p>
    <w:p>
      <w:pPr>
        <w:spacing w:after="0" w:line="62"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Market opportunity estimates and growth forecasts for the markets in which we compete,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markets in which we compete meet the size estimates and growth forecasts, our business could fail to grow for a variety of reasons outside of our control, including competition in our industry. If any of these risks materializes, it could harm our business and prospects.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Occurrence of any catastrophic event, including earthquake, fire, flood, tsunami or other weather event, power loss, telecommunications failure, software or hardware malfunctions, cyber-attack, war, terrorist attack, disease, or health epidemics,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Moreover,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57" w:lineRule="exact"/>
        <w:rPr>
          <w:sz w:val="20"/>
          <w:szCs w:val="20"/>
          <w:color w:val="auto"/>
        </w:rPr>
      </w:pPr>
    </w:p>
    <w:p>
      <w:pPr>
        <w:jc w:val="both"/>
        <w:ind w:firstLine="486"/>
        <w:spacing w:after="0" w:line="292" w:lineRule="auto"/>
        <w:rPr>
          <w:sz w:val="20"/>
          <w:szCs w:val="20"/>
          <w:color w:val="auto"/>
        </w:rPr>
      </w:pPr>
      <w:r>
        <w:rPr>
          <w:rFonts w:ascii="Arial" w:cs="Arial" w:eastAsia="Arial" w:hAnsi="Arial"/>
          <w:sz w:val="16"/>
          <w:szCs w:val="16"/>
          <w:color w:val="auto"/>
        </w:rPr>
        <w:t>We also face risks related to health epidemics, such as the COVID-19 pandemic, which has impacted virtually every country in the world. An outbreak of a contagious disease, and other adverse health developments could have an adverse effect on global economic conditions and on our business. The effects could include business and service disruptions, such as the temporary closure of our facilities, restrictions on our employees' ability to travel to support our facilities and services, and difficulties in hiring new employees. We have removed the 40-minute time limit from our free Basic accounts for customers in K-12 schools in certain countries. While we have seen increased usage of our service globally, a significant portion of such increase is</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attributable to free Basic accounts, which do not generate any revenue. We cannot make any assurances that we will experience an increase in paid hosts or that new or existing users will continue to utilize our services at the same levels after the COVID-19 pandemic has tapered. Furthermore, such increased usage by free Basic account users during this time has required and will continue to require us to expand our network capacity which will increase our operating costs.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Our reported results of operations may be adversely affected by changes in accounting principles generally accepted in the United States.</w:t>
      </w:r>
    </w:p>
    <w:p>
      <w:pPr>
        <w:spacing w:after="0" w:line="14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Generally accepted accounting principles in the United States are subject to interpretation by the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also difficult to predict the impact of future changes to accounting principles or our accounting policies, any of which could harm our business.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We may need additional capital, and we cannot be certain that additional financing will be available on favorable terms, or at all.</w:t>
      </w:r>
    </w:p>
    <w:p>
      <w:pPr>
        <w:spacing w:after="0" w:line="12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7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consolidated financial statements or comply with applicable regulations could be impaired.</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subject to the reporting requirements of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7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expended, and anticipate that we will continue to expend, significant resources, including accounting-related costs and significant management oversight.</w:t>
      </w:r>
    </w:p>
    <w:p>
      <w:pPr>
        <w:spacing w:after="0" w:line="14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5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required to provide an annual management report on the effectiveness of our internal control over financial reporting.</w:t>
      </w:r>
    </w:p>
    <w:p>
      <w:pPr>
        <w:spacing w:after="0" w:line="5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17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62"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trading market for our Class A common stock depends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one or more securities analysts cease coverage of us or fail to publish reports on us regularly, demand for our securities could decrease, which might cause the price and trading volume of our Class A common stock to decline.</w:t>
      </w:r>
    </w:p>
    <w:p>
      <w:pPr>
        <w:spacing w:after="0" w:line="1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a public company listed in the United States, we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corporate headquarters is located in San Jose, California, where we lease approximately 103,000 square feet of commercial space pursuant to operating leases that expire in the fiscal year ending January 31, 2030. In addition, we maintain additional offices in the United States and internationally in APAC and EMEA. We believe that our facilities are suitable to meet our current needs.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Information with respect to this item may be found in Note 8 - “Commitment and Contingencies” in the accompanying notes to the consolidated financial statements included in Part II, Item 8, “Consolidated Financial Statements and Supplementary Data” of this Annual Report on Form 10-K, under “Legal Proceedings,” which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Class A common stock is listed on the Nasdaq Global Select Market under the symbol “ZM.”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 of January 31, 2021, we had 58 holders of record of our Class A common stock and 21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76"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following graph compares (i) the cumulative total stockholder return on our Class A common stock from April 18, 2019 (the date our Class A common stock commenced trading on the Nasdaq Global Select Market) through January 31, 2021 with (ii) the cumulative total return of the Russell 2000 Index (“RUT”) and the Nasdaq Computer Index (“IXCO”) over the same period, assuming the investment of $100 in our Class A common stock and in both of the other indices on April 18, 2019 and the reinvestment of dividends. The graph uses the closing market price on April 18, 2019 of $62.00 per share as the initial value of our Class A common stock. As discussed above, we have never declared or paid a cash dividend on our Class A common stock and do not anticipate declaring or paying a cash dividend in the foreseeable future.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434975</wp:posOffset>
            </wp:positionV>
            <wp:extent cx="4303395" cy="23577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0339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On April 23, 2019, we sold 13,041,869 shares of our Class A common stock in connection with our IPO, including 3,130,435 shares sold pursuant to the underwriters’ full exercise of their right to purchase additional shares, at a public offering price of $36.00 per share for an aggregate offering price of $469.5 million. The selling stockholders sold 10,958,131 shares of our Class A common stock at a public offering price of $36.00 per share for an aggregate offering price of $394.5 million. The offer and sale of all of the shares in our IPO were registered under the Securities Act pursuant to a registration statement on Form S-1 (File No. 333-230444), which was declared effective by the SEC on April 17, 2019.</w:t>
      </w:r>
    </w:p>
    <w:p>
      <w:pPr>
        <w:spacing w:after="0" w:line="6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Immediately subsequent to the closing of our IPO, Salesforce Ventures LLC purchased 2,777,777 shares of our Class A common stock from us at $36.00 per share in a concurrent private placement.</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have applied all of the $469.5 million of net proceeds from the IPO for the purposes described in our final prospectus dated April 17, 2019 filed with the SEC pursuant to Rule 424(b)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following selected consolidated financial data should be read in conjunction with “Management’s Discussion and Analysis of Financial Condition and Results of Operations” and the consolidated financial statements and related notes thereto included elsewhere in this Annual Report on Form 10-K. The consolidated statements of operations data for each of the fiscal years ended January 31, 2021, 2020, and 2019, and the consolidated balance sheets data as of January 31, 2021 and 2020, are derived from our audited consolidated financial statements included elsewhere in this Annual Report on Form 10-K. The consolidated statement of operations data for the fiscal years ended January 31, 2018 and 2017 and the consolidated balance sheet data as of January 31, 2019 and 2018 are derived from our audited consolidated financial statements not included in this Annual Report on Form 10-K. Our historical results are not necessarily indicative of our future results. The selected consolidated financial data in this section are not intended to replace the consolidated financial statements and related notes thereto included elsewhere in this Annual Report on Form 10-K and are qualified in their entirety by the consolidated financial statements and related notes thereto included elsewhere in this Annual Report on Form 10-K.</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January 31,</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8"/>
        </w:trPr>
        <w:tc>
          <w:tcPr>
            <w:tcW w:w="4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2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1"/>
              </w:rPr>
              <w:t>(in thousands, except share and per share data)</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2,651,368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622,658</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330,517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151,478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60,817</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r>
              <w:rPr>
                <w:rFonts w:ascii="Arial" w:cs="Arial" w:eastAsia="Arial" w:hAnsi="Arial"/>
                <w:sz w:val="10"/>
                <w:szCs w:val="10"/>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821,989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12,472</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1,829,379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120,698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48,345</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40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0"/>
                <w:szCs w:val="10"/>
                <w:color w:val="auto"/>
              </w:rPr>
              <w:t>(1)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164,080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67,079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33,014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9,218</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0"/>
                <w:szCs w:val="10"/>
                <w:color w:val="auto"/>
              </w:rPr>
              <w:t>(1)</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31,580</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0"/>
                <w:szCs w:val="10"/>
                <w:color w:val="auto"/>
              </w:rPr>
              <w:t>(1)</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320,547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7,547</w:t>
            </w: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1,169,531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494,566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48,345</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659,848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and other, net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678,034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672,316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25,305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Distributed earnings attributable to participating securities</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(14,366)</w:t>
            </w:r>
          </w:p>
        </w:tc>
        <w:tc>
          <w:tcPr>
            <w:tcW w:w="0" w:type="dxa"/>
            <w:vAlign w:val="bottom"/>
          </w:tcPr>
          <w:p>
            <w:pPr>
              <w:spacing w:after="0"/>
              <w:rPr>
                <w:sz w:val="1"/>
                <w:szCs w:val="1"/>
                <w:color w:val="auto"/>
              </w:rPr>
            </w:pPr>
          </w:p>
        </w:tc>
      </w:tr>
      <w:tr>
        <w:trPr>
          <w:trHeight w:val="176"/>
        </w:trPr>
        <w:tc>
          <w:tcPr>
            <w:tcW w:w="4280" w:type="dxa"/>
            <w:vAlign w:val="bottom"/>
          </w:tcPr>
          <w:p>
            <w:pPr>
              <w:ind w:left="20"/>
              <w:spacing w:after="0" w:line="176" w:lineRule="exact"/>
              <w:rPr>
                <w:sz w:val="20"/>
                <w:szCs w:val="20"/>
                <w:color w:val="auto"/>
              </w:rPr>
            </w:pPr>
            <w:r>
              <w:rPr>
                <w:rFonts w:ascii="Arial" w:cs="Arial" w:eastAsia="Arial" w:hAnsi="Arial"/>
                <w:sz w:val="18"/>
                <w:szCs w:val="18"/>
                <w:color w:val="auto"/>
              </w:rPr>
              <w:t>Undistributed earnings attributable to participating</w:t>
            </w: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Net income (loss) attributable to common stockholders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Net income (loss) per share attributable to common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4280" w:type="dxa"/>
            <w:vAlign w:val="bottom"/>
            <w:vMerge w:val="restart"/>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vMerge w:val="continue"/>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0.00</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(0.11)</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Weighted-average shares used in computing net income</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(loss) per share attributable to common stockholders: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283,853,654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233,641,336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84,483,094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78,119,865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70,309,256</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298,127,669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254,298,014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116,005,681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78,119,865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70,309,256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80" w:hanging="148"/>
        <w:spacing w:after="0"/>
        <w:tabs>
          <w:tab w:leader="none" w:pos="48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Includes stock-based compensation expense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January 31,</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7"/>
        </w:trPr>
        <w:tc>
          <w:tcPr>
            <w:tcW w:w="4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18"/>
        </w:trPr>
        <w:tc>
          <w:tcPr>
            <w:tcW w:w="4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29"/>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r>
      <w:tr>
        <w:trPr>
          <w:trHeight w:val="248"/>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7"/>
        </w:trPr>
        <w:tc>
          <w:tcPr>
            <w:tcW w:w="39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2018</w:t>
            </w:r>
          </w:p>
        </w:tc>
      </w:tr>
      <w:tr>
        <w:trPr>
          <w:trHeight w:val="218"/>
        </w:trPr>
        <w:tc>
          <w:tcPr>
            <w:tcW w:w="3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5"/>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Sheets Data:</w:t>
            </w: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2,240,303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283,134</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63,624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36,146</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2,004,410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572,060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103,056</w:t>
            </w: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3,532,899</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761,692</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124,378</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114,633</w:t>
            </w:r>
          </w:p>
        </w:tc>
      </w:tr>
      <w:tr>
        <w:trPr>
          <w:trHeight w:val="230"/>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5,297,993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1,289,845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215,019</w:t>
            </w:r>
          </w:p>
        </w:tc>
      </w:tr>
      <w:tr>
        <w:trPr>
          <w:trHeight w:val="229"/>
        </w:trPr>
        <w:tc>
          <w:tcPr>
            <w:tcW w:w="3980" w:type="dxa"/>
            <w:vAlign w:val="bottom"/>
          </w:tcPr>
          <w:p>
            <w:pPr>
              <w:ind w:left="20"/>
              <w:spacing w:after="0"/>
              <w:rPr>
                <w:sz w:val="20"/>
                <w:szCs w:val="20"/>
                <w:color w:val="auto"/>
              </w:rPr>
            </w:pPr>
            <w:r>
              <w:rPr>
                <w:rFonts w:ascii="Arial" w:cs="Arial" w:eastAsia="Arial" w:hAnsi="Arial"/>
                <w:sz w:val="18"/>
                <w:szCs w:val="18"/>
                <w:color w:val="auto"/>
              </w:rPr>
              <w:t>Deferred revenue, current and noncurrent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883,495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230,536</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125,773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54,262</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promissory notes, net</w:t>
            </w:r>
            <w:r>
              <w:rPr>
                <w:rFonts w:ascii="Arial" w:cs="Arial" w:eastAsia="Arial" w:hAnsi="Arial"/>
                <w:sz w:val="10"/>
                <w:szCs w:val="10"/>
                <w:color w:val="auto"/>
              </w:rPr>
              <w:t>(1)</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159,552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159,552</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 (accumulated deficit)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(32,737)</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Total stockholders’ equity (deficit)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3,860,767</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833,943</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(7,439)</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(26,671)</w:t>
            </w:r>
          </w:p>
        </w:tc>
      </w:tr>
    </w:tbl>
    <w:p>
      <w:pPr>
        <w:spacing w:after="0" w:line="201" w:lineRule="exact"/>
        <w:rPr>
          <w:sz w:val="20"/>
          <w:szCs w:val="20"/>
          <w:color w:val="auto"/>
        </w:rPr>
      </w:pPr>
    </w:p>
    <w:p>
      <w:pPr>
        <w:ind w:left="420" w:hanging="169"/>
        <w:spacing w:after="0"/>
        <w:tabs>
          <w:tab w:leader="none" w:pos="420" w:val="left"/>
        </w:tabs>
        <w:numPr>
          <w:ilvl w:val="0"/>
          <w:numId w:val="21"/>
        </w:numPr>
        <w:rPr>
          <w:rFonts w:ascii="Arial" w:cs="Arial" w:eastAsia="Arial" w:hAnsi="Arial"/>
          <w:sz w:val="20"/>
          <w:szCs w:val="20"/>
          <w:color w:val="auto"/>
          <w:vertAlign w:val="superscript"/>
        </w:rPr>
      </w:pPr>
      <w:r>
        <w:rPr>
          <w:rFonts w:ascii="Arial" w:cs="Arial" w:eastAsia="Arial" w:hAnsi="Arial"/>
          <w:sz w:val="16"/>
          <w:szCs w:val="16"/>
          <w:color w:val="auto"/>
        </w:rPr>
        <w:t>Included in other liabilities, noncurrent on our consolidated balance sheets.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mission is to make video communications frictionless and secure.</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provide a video-first unified communications platform that delivers happiness and fundamentally changes how people interact. We connect people through frictionless and secure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applications and physical spaces. We believe that rich and reliable communications lead to interactions that build greater empathy and trust. We strive to live up to the trust our customers place in us by delivering a communications solution that “just works” while prioritizing their privacy and security. Our goal is to make Zoom Meetings better than in-person meetings. Our 21 co-located data centers located worldwide and the public cloud enable us to provide both high-quality and high-definition, real-time video to our customers even in low-bandwidth environments.</w:t>
      </w:r>
    </w:p>
    <w:p>
      <w:pPr>
        <w:spacing w:after="0" w:line="8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generate revenue from the sale of subscriptions to our unified communications platform. Subscription revenue is driven primarily by the number of paid hosts as well as purchases of additional products, including Zoom Rooms, Zoom Video Webinars, Zoom Phone, and Hardware-as-a-Service (“HaaS”) for rooms and phones. A host is any user of our unified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 Our Basic offering is free and gives hosts access to Zoom Meetings with core features but with the limitation that meetings with more than two endpoints time-out at 40 minutes. Our paid offerings include our Pro, Business, Enterprise, Education, and Healthcare plans, which provide incremental features and functionality, such as different participant limits, administrative controls, and reporting.</w:t>
      </w:r>
    </w:p>
    <w:p>
      <w:pPr>
        <w:spacing w:after="0" w:line="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Zoom Phone, plans include Zoom Phone Pro, which provides extension-to-extension calling or can be used with the Bring Your Own Carrier model wherein the customer connects Zoom Phone to an existing carrier. We also offer Regional Unlimited and Regional Metered calling plans in three specific markets (United States/Canada, United Kingdom/Ireland, and Australia/New Zealand). In addition, we introduced the Global Select plan in August 2020, which allows customers to select from local numbers and domestic calling in over 40 countries and territories where Zoom has local PSTN coverage. In addition, the Zoom United plan launched in December 2020 provides a single license for customers to purchase Zoom Phone, Meetings and chat capabilities as a bundled offering.</w:t>
      </w:r>
    </w:p>
    <w:p>
      <w:pPr>
        <w:spacing w:after="0" w:line="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revenue was $2,651.4 million, $622.7 million, and $330.5 million for the fiscal years ended January 31, 2021, 2020, and 2019, respectively, representing period-over-period growth rate of 326% and 88% for fiscal year 2021 and fiscal year 2020,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respectively. We had net income of $672.3 million, $25.3 million, and $7.6 million for the fiscal years ended January 31, 2021, 2020, and 2019, respectively. Net cash provided by operating activities was $1,471.2 million, $151.9 million, and $51.3 million for the fiscal years ended January 31, 2021, 2020, and 2019, respectively.</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December 2019, an outbreak of the COVID-19 disease was first identified and began to spread across the globe. In March 2020, the World Health Organization declared COVID-19 a pandemic, impacting many countries around the world. Governments have instituted lockdown or other similar measures to slow infection rates. Many organizations have resorted to mandating employees to work from home, which has resulted in these organizations seeking out video communication solutions like ours to keep employees as productive as possible, even while working from home. Schools, colleges, and universities globally have also closed as a result of this pandemic. Many of these institutions are utilizing our platform to provide remote instruction to their students. To help teachers and students navigate this unprecedented situation, we have temporarily removed the 40-minute time limit for meetings with more than two endpoints from our free Basic accounts for more than 125,000 K-12 domains worldwide.</w:t>
      </w:r>
    </w:p>
    <w:p>
      <w:pPr>
        <w:spacing w:after="0" w:line="6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While we have experienced a significant increase in paid hosts and revenue due to the pandemic, the aforementioned factors have also driven increased usage of our services and have required us to expand our network, data storage, and processing capacity, both in our own co-located data centers as well as through third-party cloud hosting, which has resulted, and is continuing to result, in an increase in our operating costs. Furthermore, a significant portion of the increase in usage of our platform is attributable to free Basic accounts and our removal of the time limit for school domains, which do not generate any revenue, but still require us to incur these additional operating costs to expand our capacity. Therefore, the recent increase in usage of our platform has adversely impacted, and may continue to adversely impact, our gross margin.</w:t>
      </w:r>
    </w:p>
    <w:p>
      <w:pPr>
        <w:spacing w:after="0" w:line="70"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In addition, there is no assurance that we will experience an increase in paid hosts or that new or existing users will continue to utilize our service after the COVID-19 pandemic has tapered. Moreover, the tapering of the COVID-19 pandemic, particularly as vaccinations become widely available, may result in a decline in paid hosts and users once individuals are no longer working or attending school from home.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prospects will depend, in part, on our ability to attract new customers. While we believe there is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Expansion of Zoom Across Existing Customers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believe that there is a large opportunity for growth with many of our existing customers. Many customers have increased the size of their subscriptions as they have expanded their use of our platform across their operations. Some of our larger enterprise customers start with a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Phone, Zoom HaaS, Zoom for Home, Zoom Rooms at each office location, and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enterprise-grade solutions.</w:t>
      </w:r>
    </w:p>
    <w:p>
      <w:pPr>
        <w:spacing w:after="0" w:line="8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annual recurring revenue (“ARR”) from all customers with more than 10 employees as of 12 months prior (“Prior Period ARR”). We define ARR as the annualized revenue run rate of subscription agreements from all customers at a point in time. We calculate ARR by taking the monthly recurring revenue (“MRR”) and multiplying it by 12. MRR is defined as the recurring revenue run-rate of subscription agreements from all customers for the last month of the period, including revenue from monthly subscribers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who have not provided any indication that they intend to cancel their subscriptions. We then calculate the ARR from these customers as of the current period end (“Current Period ARR”), which includes any upsells, contraction, and attrition. We divide the Current Period ARR by the Prior Period ARR to arrive at the net dollar expansion rate. For the trailing 12-months calculation, we take an average of the net dollar expansion rate over the trailing 12 months. Our net dollar expansion rate may fluctuate as a result of a number of factors, including the level of penetration within our customer base, expansion of products and features, and our ability to retain our customers. Our trailing 12-month net dollar expansion rate in customers with more than 10 employees was greater than 130% as of January 31, 2021, 2020, and 2019.</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Innovation and Expansion of Our Platform</w:t>
      </w:r>
    </w:p>
    <w:p>
      <w:pPr>
        <w:spacing w:after="0" w:line="117"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continue to invest resources to enhance the capabilities of our platform. For example, we have recently introduced a number of product enhancements, including new features for Zoom Phone, Zoom Meetings, and Zoom Video Webinars. We addressed new work-from-home realities with the introduction of Zoom for Home, a solution designed for the home office that combines Zoom software enhancements with compatible hardware. We also expanded our geographic footprint with Zoom Phone availability in 26 new countries and territories during fiscal year 2021, bringing the total to 44. Third-party developers are also a key component of our strategy for platform innovation to make it easier for customers and developers to extend our product portfolio with new functionalities. We believe that as more developers and other third parties use our platform to integrate major third-party applications, we will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An End-to-end encryption (“E2EE”) option is now available to free and paid Zoom customers globally who host meetings with up to 200 participants. Zoom’s E2EE uses the same AES-256-GCM encryption that secures Zoom meetings by default, but with Zoom’s new E2EE, the meeting host generates encryption keys and uses public key cryptography to distribute these keys to the other meeting participants.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recently announced two additions to the Zoom platform: OnZoom and Zoom Apps. OnZoom is an online event platform for Zoom users to create and host free, paid, and fundraising events. OnZoom is currently offered as a public beta for U.S. users to attend online events. Zoom Apps are a new app type coming soon to the Zoom App Marketplace. These in-product integrations will be accessible directly from Zoom Meetings and the Zoom Desktop client and are designed to facilitate collaboration and engagement during meetings.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International Expansion</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platform addresses the communications needs of users worldwide, and we see international expansion as a major opportunity. Our revenue from the rest of world (APAC and EMEA) represented 31%, 19%, and 18% of our total revenue for the fiscal years ended January 31, 2021, 2020, and 2019, respectively. We plan to add local sales support in further select international markets over time. We use strategic partners and resellers to sell in certain international markets where we have limited or no direct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review the following key business metrics to measure our performance, identify trends, formulate financial projections, and make strategic decisions.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Customers with More Than 10 Employees</w:t>
      </w:r>
    </w:p>
    <w:p>
      <w:pPr>
        <w:spacing w:after="0" w:line="11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As of January 31, 2021, 2020, and 2019, we had approximately 467,100, 81,900, and 50,800 customers, respectively, with more than 10 employees. When disclosing the number of customers, we round down to the nearest hundred.</w:t>
      </w:r>
    </w:p>
    <w:p>
      <w:pPr>
        <w:spacing w:after="0" w:line="5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Since the start of the COVID-19 pandemic early this fiscal year, our customer cohort with 10 or fewer employees expanded as business owners and individual users adopted Zoom for many personal, professional, and social events. As a result, we have experienced a shift in the makeup of customer cohorts, with 36% of revenue attributable to customers with 10 or fewer employees during the fiscal year ended January 31, 2021, compared to 18% for the prior fiscal year.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Customers Contributing More Than $100,000 of Trailing 12 Months Revenue</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focus on growing the number of customers that contribute more than $100,000 of trailing 12 months revenue as a measure of our ability to scale with our customers and attract larger organizations to Zoom. Revenue from these customers represented 20%, 33%, and 30% of total revenue for the fiscal years ended January 31, 2021, 2020, and 2019, respectively. As of January 31, 2021, 2020, and 2019, we had 1,644, 641, and 344 customers, respectively, that contributed more than $100,000 of trailing 12 months revenue, demonstrating our rapid penetration of larger organizations, including enterprises. These customers are a subset of the customers with more than 10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addition to our results determined in accordance with GAAP, we believe that free cash flow (“FCF”), a non-GAAP financial measure, is useful in evaluating our liquidity.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define FCF as GAAP net cash provided by operating activities less purchases of property and equipment. We believe that FCF is a useful indicator of liquidity that provides information to management and investors about the amount of cash generated from our operations that, after investments in property and equipment, can be used for future growth. FCF is presented for supplemental informational purposes only, has limitations as an analytical tool, and should not be considered in isolation or as a substitute for analysis of other GAAP financial measures, such as net cash provided by operating activities. It is important to note that other companies, including companies in our industry, may not use this metric, may calculate this metric differently, or may use other financial measures to evaluate their liquidity, all of which could reduce the usefulness of this non-GAAP metric as a comparative measure.</w:t>
      </w:r>
    </w:p>
    <w:p>
      <w:pPr>
        <w:spacing w:after="0" w:line="5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8"/>
          <w:szCs w:val="18"/>
          <w:color w:val="auto"/>
        </w:rPr>
        <w:t>The following table presents a summary of our cash flows for the fiscal years presented and a reconciliation of FCF to net cash provided by operating activities, the most directly comparable financial measure calculated in accordance with GAAP:</w:t>
      </w: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Year Ended January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8"/>
        </w:trPr>
        <w:tc>
          <w:tcPr>
            <w:tcW w:w="6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(in thousands)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1,471,177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151,892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533"/>
              <w:spacing w:after="0"/>
              <w:rPr>
                <w:sz w:val="20"/>
                <w:szCs w:val="20"/>
                <w:color w:val="auto"/>
              </w:rPr>
            </w:pPr>
            <w:r>
              <w:rPr>
                <w:rFonts w:ascii="Arial" w:cs="Arial" w:eastAsia="Arial" w:hAnsi="Arial"/>
                <w:sz w:val="18"/>
                <w:szCs w:val="18"/>
                <w:color w:val="auto"/>
                <w:w w:val="87"/>
              </w:rPr>
              <w:t>51,332</w:t>
            </w: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purchases of property and equipment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13"/>
              <w:spacing w:after="0"/>
              <w:rPr>
                <w:sz w:val="20"/>
                <w:szCs w:val="20"/>
                <w:color w:val="auto"/>
              </w:rPr>
            </w:pPr>
            <w:r>
              <w:rPr>
                <w:rFonts w:ascii="Arial" w:cs="Arial" w:eastAsia="Arial" w:hAnsi="Arial"/>
                <w:sz w:val="18"/>
                <w:szCs w:val="18"/>
                <w:color w:val="auto"/>
                <w:w w:val="92"/>
              </w:rPr>
              <w:t>(28,432)</w:t>
            </w: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 (non-GAAP)</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1,391,205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center"/>
              <w:ind w:left="533"/>
              <w:spacing w:after="0"/>
              <w:rPr>
                <w:sz w:val="20"/>
                <w:szCs w:val="20"/>
                <w:color w:val="auto"/>
              </w:rPr>
            </w:pPr>
            <w:r>
              <w:rPr>
                <w:rFonts w:ascii="Arial" w:cs="Arial" w:eastAsia="Arial" w:hAnsi="Arial"/>
                <w:sz w:val="18"/>
                <w:szCs w:val="18"/>
                <w:color w:val="auto"/>
                <w:w w:val="87"/>
              </w:rPr>
              <w:t>22,900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00" w:type="dxa"/>
            <w:vAlign w:val="bottom"/>
            <w:vMerge w:val="continue"/>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(1,562,420)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4"/>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(499,468)</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center"/>
              <w:ind w:left="513"/>
              <w:spacing w:after="0" w:line="203" w:lineRule="exact"/>
              <w:rPr>
                <w:sz w:val="20"/>
                <w:szCs w:val="20"/>
                <w:color w:val="auto"/>
              </w:rPr>
            </w:pPr>
            <w:r>
              <w:rPr>
                <w:rFonts w:ascii="Arial" w:cs="Arial" w:eastAsia="Arial" w:hAnsi="Arial"/>
                <w:sz w:val="18"/>
                <w:szCs w:val="18"/>
                <w:color w:val="auto"/>
                <w:w w:val="92"/>
              </w:rPr>
              <w:t>(39,719)</w:t>
            </w: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2,050,277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615,690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center"/>
              <w:ind w:left="533"/>
              <w:spacing w:after="0"/>
              <w:rPr>
                <w:sz w:val="20"/>
                <w:szCs w:val="20"/>
                <w:color w:val="auto"/>
              </w:rPr>
            </w:pPr>
            <w:r>
              <w:rPr>
                <w:rFonts w:ascii="Arial" w:cs="Arial" w:eastAsia="Arial" w:hAnsi="Arial"/>
                <w:sz w:val="18"/>
                <w:szCs w:val="18"/>
                <w:color w:val="auto"/>
                <w:w w:val="87"/>
              </w:rPr>
              <w:t>17,534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derive our revenue from subscription agreements with customers for access to our unified communications platform. Our customers generally do not have the ability to take possession of our software. We also provide services, which include professional services, consulting services, and online event hosting, which are generally considered distinct from the access to our unified communications platform.</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Cost of revenue primarily consists of costs related to hosting our unified communications platform and providing general operating support services to our customers. These costs are related to our co-located data centers, third-party cloud hosting, integrated third-party PSTN services, personnel-related expenses, amortization of capitalized software development and acquired intangible assets, royalty payments, and allocated overhead. We expect our cost of revenue to increase in absolute dollars during the upcoming fiscal year, as we expand our data center capacity due to increased usage stemming from the COVID-19 pandemic. However, the cost of revenue as a percentage of revenue may decrease over time as we scale our data centers to accommodate usage from our increased customer base and as the ratio of free to paid users varies.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primarily by increasing research and development headcount, as we focus on further developing our platform, enhancing its use cases, and strengthening security and privacy. As a result, we expect our research and development expenses to increase both in absolute dollars and as a percentage of total revenue, during the upcoming fiscal year.</w:t>
      </w:r>
    </w:p>
    <w:p>
      <w:pPr>
        <w:spacing w:after="0" w:line="5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Sales and marketing expenses primarily consist of personnel-related expenses directly associated with our sales and marketing organization. Other sales and marketing expenses include advertising and promotional events to promote our brand, such as awareness programs, digital programs, public relations, tradeshows, and our user conference, Zoomtopia, and allocated overhead. Sales and marketing expenses also include amortization of deferred contract acquisition costs and credit card processing fees related to sales. We plan to increase our investment in sales and marketing over the foreseeable future, primarily by increasing the headcount of our direct sales force and marketing investments in demand generation. As a result, we expect our sales and marketing expenses to increase both in absolute dollars and as a percentage of total revenue, during the upcoming fiscal year.</w:t>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General and administrative expenses primarily consist of personnel-related expenses associated with our finance, legal, and human resources organizations; professional fees for external legal, accounting, and other consulting services; expected credit losses; insurance; indirect taxes; and allocated overhead. We expect to increase the size of our general and administrative function to support the growth and complexity of our business. As a result, we expect our general and administrative expenses to increase in absolute dollars, but to remain relatively constant as a percentage of total revenue, during the upcoming fiscal year.</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Interest income and other, net consists primarily of interest income and net accretion earned on our marketable securities, effect of changes in foreign currency exchange rates, and remeasurement gains or losses on our equity investment.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Provision for income taxes consists primarily of income taxes related to federal, state, and foreign jurisdictions where we conduct business.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8"/>
          <w:szCs w:val="18"/>
          <w:color w:val="auto"/>
        </w:rPr>
        <w:t>The following tables set forth selected consolidated statements of operations data and such data as a percentage of total revenue for each of the fiscal years indicated:</w:t>
      </w: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January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7"/>
        </w:trPr>
        <w:tc>
          <w:tcPr>
            <w:tcW w:w="6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2019</w:t>
            </w:r>
          </w:p>
        </w:tc>
      </w:tr>
      <w:tr>
        <w:trPr>
          <w:trHeight w:val="218"/>
        </w:trPr>
        <w:tc>
          <w:tcPr>
            <w:tcW w:w="6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6"/>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2,651,368</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622,658</w:t>
            </w:r>
          </w:p>
        </w:tc>
        <w:tc>
          <w:tcPr>
            <w:tcW w:w="10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330,517</w:t>
            </w:r>
          </w:p>
        </w:tc>
      </w:tr>
      <w:tr>
        <w:trPr>
          <w:trHeight w:val="229"/>
        </w:trPr>
        <w:tc>
          <w:tcPr>
            <w:tcW w:w="6120" w:type="dxa"/>
            <w:vAlign w:val="bottom"/>
            <w:tcBorders>
              <w:bottom w:val="single" w:sz="8" w:color="CFF0FC"/>
            </w:tcBorders>
          </w:tcPr>
          <w:p>
            <w:pPr>
              <w:ind w:left="20"/>
              <w:spacing w:after="0" w:line="230" w:lineRule="exact"/>
              <w:rPr>
                <w:sz w:val="20"/>
                <w:szCs w:val="20"/>
                <w:color w:val="auto"/>
              </w:rPr>
            </w:pPr>
            <w:r>
              <w:rPr>
                <w:rFonts w:ascii="Arial" w:cs="Arial" w:eastAsia="Arial" w:hAnsi="Arial"/>
                <w:sz w:val="18"/>
                <w:szCs w:val="18"/>
                <w:color w:val="auto"/>
              </w:rPr>
              <w:t xml:space="preserve">Cost of revenue </w:t>
            </w:r>
            <w:r>
              <w:rPr>
                <w:rFonts w:ascii="Arial" w:cs="Arial" w:eastAsia="Arial" w:hAnsi="Arial"/>
                <w:sz w:val="23"/>
                <w:szCs w:val="23"/>
                <w:color w:val="auto"/>
                <w:vertAlign w:val="superscript"/>
              </w:rPr>
              <w:t>(1)</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821,989</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115,396</w:t>
            </w: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61,001</w:t>
            </w:r>
          </w:p>
        </w:tc>
      </w:tr>
      <w:tr>
        <w:trPr>
          <w:trHeight w:val="223"/>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1,829,379</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507,262</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269,516</w:t>
            </w:r>
          </w:p>
        </w:tc>
      </w:tr>
      <w:tr>
        <w:trPr>
          <w:trHeight w:val="209"/>
        </w:trPr>
        <w:tc>
          <w:tcPr>
            <w:tcW w:w="6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6120" w:type="dxa"/>
            <w:vAlign w:val="bottom"/>
            <w:shd w:val="clear" w:color="auto" w:fill="CFF0FC"/>
          </w:tcPr>
          <w:p>
            <w:pPr>
              <w:ind w:left="220"/>
              <w:spacing w:after="0" w:line="230" w:lineRule="exact"/>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164,080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67,079</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33,014</w:t>
            </w:r>
          </w:p>
        </w:tc>
      </w:tr>
      <w:tr>
        <w:trPr>
          <w:trHeight w:val="230"/>
        </w:trPr>
        <w:tc>
          <w:tcPr>
            <w:tcW w:w="612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684,904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340,646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185,821</w:t>
            </w:r>
          </w:p>
        </w:tc>
      </w:tr>
      <w:tr>
        <w:trPr>
          <w:trHeight w:val="229"/>
        </w:trPr>
        <w:tc>
          <w:tcPr>
            <w:tcW w:w="6120" w:type="dxa"/>
            <w:vAlign w:val="bottom"/>
            <w:shd w:val="clear" w:color="auto" w:fill="CFF0FC"/>
          </w:tcPr>
          <w:p>
            <w:pPr>
              <w:ind w:left="220"/>
              <w:spacing w:after="0" w:line="23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320,547</w:t>
            </w: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86,841</w:t>
            </w:r>
          </w:p>
        </w:tc>
        <w:tc>
          <w:tcPr>
            <w:tcW w:w="1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44,514</w:t>
            </w:r>
          </w:p>
        </w:tc>
      </w:tr>
      <w:tr>
        <w:trPr>
          <w:trHeight w:val="223"/>
        </w:trPr>
        <w:tc>
          <w:tcPr>
            <w:tcW w:w="61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1,169,531</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494,566</w:t>
            </w:r>
          </w:p>
        </w:tc>
        <w:tc>
          <w:tcPr>
            <w:tcW w:w="1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263,349</w:t>
            </w:r>
          </w:p>
        </w:tc>
      </w:tr>
      <w:tr>
        <w:trPr>
          <w:trHeight w:val="223"/>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659,848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6,167</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and other, net</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w:t>
            </w:r>
          </w:p>
        </w:tc>
      </w:tr>
      <w:tr>
        <w:trPr>
          <w:trHeight w:val="230"/>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7,584</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200" w:hanging="174"/>
        <w:spacing w:after="0"/>
        <w:tabs>
          <w:tab w:leader="none" w:pos="20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expense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2660" w:type="dxa"/>
            <w:vAlign w:val="bottom"/>
            <w:gridSpan w:val="3"/>
            <w:shd w:val="clear" w:color="auto" w:fill="CFF0FC"/>
          </w:tcPr>
          <w:p>
            <w:pPr>
              <w:jc w:val="right"/>
              <w:ind w:right="67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34,960</w:t>
            </w: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7,860</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50,161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11,645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7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146,377</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41,465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General and administrative</w:t>
            </w: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44,320</w:t>
            </w: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12,139</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stock-based compensation expense</w:t>
            </w:r>
          </w:p>
        </w:tc>
        <w:tc>
          <w:tcPr>
            <w:tcW w:w="15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275,818</w:t>
            </w:r>
          </w:p>
        </w:tc>
        <w:tc>
          <w:tcPr>
            <w:tcW w:w="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73,109</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8,941</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6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bottom w:val="single" w:sz="8" w:color="auto"/>
            </w:tcBorders>
            <w:gridSpan w:val="2"/>
          </w:tcPr>
          <w:p>
            <w:pPr>
              <w:spacing w:after="0" w:line="20" w:lineRule="exact"/>
              <w:rPr>
                <w:sz w:val="1"/>
                <w:szCs w:val="1"/>
                <w:color w:val="auto"/>
              </w:rPr>
            </w:pPr>
          </w:p>
        </w:tc>
        <w:tc>
          <w:tcPr>
            <w:tcW w:w="80" w:type="dxa"/>
            <w:vAlign w:val="bottom"/>
            <w:tcBorders>
              <w:top w:val="single" w:sz="8" w:color="CFF0FC"/>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2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3"/>
        </w:trPr>
        <w:tc>
          <w:tcPr>
            <w:tcW w:w="4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Year Ended January 31,</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8"/>
        </w:trPr>
        <w:tc>
          <w:tcPr>
            <w:tcW w:w="4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0" w:type="dxa"/>
            <w:vAlign w:val="bottom"/>
            <w:gridSpan w:val="8"/>
          </w:tcPr>
          <w:p>
            <w:pPr>
              <w:ind w:left="60"/>
              <w:spacing w:after="0"/>
              <w:rPr>
                <w:sz w:val="20"/>
                <w:szCs w:val="20"/>
                <w:color w:val="auto"/>
              </w:rPr>
            </w:pPr>
            <w:r>
              <w:rPr>
                <w:rFonts w:ascii="Arial" w:cs="Arial" w:eastAsia="Arial" w:hAnsi="Arial"/>
                <w:sz w:val="14"/>
                <w:szCs w:val="14"/>
                <w:b w:val="1"/>
                <w:bCs w:val="1"/>
                <w:color w:val="auto"/>
              </w:rPr>
              <w:t>(as a percentage of revenue)</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5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Cost of revenue</w:t>
            </w: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3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from operations</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and other, net</w:t>
            </w:r>
          </w:p>
        </w:tc>
        <w:tc>
          <w:tcPr>
            <w:tcW w:w="1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jc w:val="right"/>
              <w:ind w:right="70"/>
              <w:spacing w:after="0"/>
              <w:rPr>
                <w:sz w:val="20"/>
                <w:szCs w:val="20"/>
                <w:color w:val="auto"/>
              </w:rPr>
            </w:pPr>
            <w:r>
              <w:rPr>
                <w:rFonts w:ascii="Arial" w:cs="Arial" w:eastAsia="Arial" w:hAnsi="Arial"/>
                <w:sz w:val="18"/>
                <w:szCs w:val="18"/>
                <w:color w:val="auto"/>
              </w:rPr>
              <w:t>50</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4"/>
        </w:trPr>
        <w:tc>
          <w:tcPr>
            <w:tcW w:w="43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Years Ended January 31, 2021 and 2020</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Year Ended January 31,</w:t>
            </w:r>
          </w:p>
        </w:tc>
        <w:tc>
          <w:tcPr>
            <w:tcW w:w="156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(in thousands, except percentages)</w:t>
            </w:r>
          </w:p>
        </w:tc>
        <w:tc>
          <w:tcPr>
            <w:tcW w:w="1560" w:type="dxa"/>
            <w:vAlign w:val="bottom"/>
          </w:tcPr>
          <w:p>
            <w:pPr>
              <w:spacing w:after="0"/>
              <w:rPr>
                <w:sz w:val="18"/>
                <w:szCs w:val="18"/>
                <w:color w:val="auto"/>
              </w:rPr>
            </w:pPr>
          </w:p>
        </w:tc>
      </w:tr>
      <w:tr>
        <w:trPr>
          <w:trHeight w:val="23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2,651,368</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622,658</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2,028,710</w:t>
            </w: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326 %</w:t>
            </w: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Revenue for the fiscal year ended January 31, 2021 increased by $2,028.7 million, or 326%, compared to the fiscal year ended January 31, 2020. </w:t>
      </w:r>
      <w:r>
        <w:rPr>
          <w:rFonts w:ascii="Arial" w:cs="Arial" w:eastAsia="Arial" w:hAnsi="Arial"/>
          <w:sz w:val="18"/>
          <w:szCs w:val="18"/>
          <w:color w:val="231F20"/>
        </w:rPr>
        <w:t>D</w:t>
      </w:r>
      <w:r>
        <w:rPr>
          <w:rFonts w:ascii="Arial" w:cs="Arial" w:eastAsia="Arial" w:hAnsi="Arial"/>
          <w:sz w:val="18"/>
          <w:szCs w:val="18"/>
          <w:color w:val="000000"/>
        </w:rPr>
        <w:t>ue to the COVID-19 pandemic, t</w:t>
      </w:r>
      <w:r>
        <w:rPr>
          <w:rFonts w:ascii="Arial" w:cs="Arial" w:eastAsia="Arial" w:hAnsi="Arial"/>
          <w:sz w:val="18"/>
          <w:szCs w:val="18"/>
          <w:color w:val="231F20"/>
        </w:rPr>
        <w:t xml:space="preserve">here was </w:t>
      </w:r>
      <w:r>
        <w:rPr>
          <w:rFonts w:ascii="Arial" w:cs="Arial" w:eastAsia="Arial" w:hAnsi="Arial"/>
          <w:sz w:val="18"/>
          <w:szCs w:val="18"/>
          <w:color w:val="000000"/>
        </w:rPr>
        <w:t>an increase in usage of our services, as many organizations around the world started utilizing our platform to</w:t>
      </w:r>
      <w:r>
        <w:rPr>
          <w:rFonts w:ascii="Arial" w:cs="Arial" w:eastAsia="Arial" w:hAnsi="Arial"/>
          <w:sz w:val="18"/>
          <w:szCs w:val="18"/>
          <w:color w:val="231F20"/>
        </w:rPr>
        <w:t xml:space="preserve"> </w:t>
      </w:r>
      <w:r>
        <w:rPr>
          <w:rFonts w:ascii="Arial" w:cs="Arial" w:eastAsia="Arial" w:hAnsi="Arial"/>
          <w:sz w:val="18"/>
          <w:szCs w:val="18"/>
          <w:color w:val="000000"/>
        </w:rPr>
        <w:t>continue their operations remotely. As a result, the increase in revenue was primarily due to subscription services provided to new customers, which accounted for approximately 73% of the increase, and to subscription services provided to existing customers, which accounted for approximately 27% of the increase.</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Year Ended January 31,</w:t>
            </w:r>
          </w:p>
        </w:tc>
        <w:tc>
          <w:tcPr>
            <w:tcW w:w="1520" w:type="dxa"/>
            <w:vAlign w:val="bottom"/>
            <w:tcBorders>
              <w:bottom w:val="single" w:sz="8" w:color="auto"/>
            </w:tcBorders>
          </w:tcPr>
          <w:p>
            <w:pPr>
              <w:spacing w:after="0"/>
              <w:rPr>
                <w:sz w:val="16"/>
                <w:szCs w:val="16"/>
                <w:color w:val="auto"/>
              </w:rPr>
            </w:pPr>
          </w:p>
        </w:tc>
      </w:tr>
      <w:tr>
        <w:trPr>
          <w:trHeight w:val="187"/>
        </w:trPr>
        <w:tc>
          <w:tcPr>
            <w:tcW w:w="4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18"/>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(in thousands, except percentages)</w:t>
            </w:r>
          </w:p>
        </w:tc>
        <w:tc>
          <w:tcPr>
            <w:tcW w:w="1520" w:type="dxa"/>
            <w:vAlign w:val="bottom"/>
          </w:tcPr>
          <w:p>
            <w:pPr>
              <w:spacing w:after="0"/>
              <w:rPr>
                <w:sz w:val="18"/>
                <w:szCs w:val="18"/>
                <w:color w:val="auto"/>
              </w:rPr>
            </w:pPr>
          </w:p>
        </w:tc>
      </w:tr>
      <w:tr>
        <w:trPr>
          <w:trHeight w:val="236"/>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135"/>
              <w:spacing w:after="0"/>
              <w:rPr>
                <w:sz w:val="20"/>
                <w:szCs w:val="20"/>
                <w:color w:val="auto"/>
              </w:rPr>
            </w:pPr>
            <w:r>
              <w:rPr>
                <w:rFonts w:ascii="Arial" w:cs="Arial" w:eastAsia="Arial" w:hAnsi="Arial"/>
                <w:sz w:val="18"/>
                <w:szCs w:val="18"/>
                <w:color w:val="auto"/>
              </w:rPr>
              <w:t>821,989</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115,396</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706,593</w:t>
            </w:r>
          </w:p>
        </w:tc>
        <w:tc>
          <w:tcPr>
            <w:tcW w:w="10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612 %</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8"/>
                <w:szCs w:val="18"/>
                <w:color w:val="auto"/>
              </w:rPr>
              <w:t>1,829,379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507,262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1,322,117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261 %</w:t>
            </w:r>
          </w:p>
        </w:tc>
      </w:tr>
      <w:tr>
        <w:trPr>
          <w:trHeight w:val="22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69 %</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81 %</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 xml:space="preserve">Cost of revenue for the fiscal year ended January 31, 2021 increased by $706.6 million, or 612%, compared to the fiscal year ended January 31, 2020. </w:t>
      </w:r>
      <w:r>
        <w:rPr>
          <w:rFonts w:ascii="Arial" w:cs="Arial" w:eastAsia="Arial" w:hAnsi="Arial"/>
          <w:sz w:val="18"/>
          <w:szCs w:val="18"/>
          <w:color w:val="231F20"/>
        </w:rPr>
        <w:t>In response to the COVID-19 pandemic, we have temporarily removed the 40-minute time limit for meetings with more than two endpoints from our</w:t>
      </w:r>
      <w:r>
        <w:rPr>
          <w:rFonts w:ascii="Arial" w:cs="Arial" w:eastAsia="Arial" w:hAnsi="Arial"/>
          <w:sz w:val="18"/>
          <w:szCs w:val="18"/>
          <w:color w:val="auto"/>
        </w:rPr>
        <w:t xml:space="preserve"> </w:t>
      </w:r>
      <w:r>
        <w:rPr>
          <w:rFonts w:ascii="Arial" w:cs="Arial" w:eastAsia="Arial" w:hAnsi="Arial"/>
          <w:sz w:val="18"/>
          <w:szCs w:val="18"/>
          <w:color w:val="231F20"/>
        </w:rPr>
        <w:t xml:space="preserve">free Basic accounts for more than 125,000 K-12 </w:t>
      </w:r>
      <w:r>
        <w:rPr>
          <w:rFonts w:ascii="Arial" w:cs="Arial" w:eastAsia="Arial" w:hAnsi="Arial"/>
          <w:sz w:val="18"/>
          <w:szCs w:val="18"/>
          <w:color w:val="000000"/>
        </w:rPr>
        <w:t>school domains worldwide</w:t>
      </w:r>
      <w:r>
        <w:rPr>
          <w:rFonts w:ascii="Arial" w:cs="Arial" w:eastAsia="Arial" w:hAnsi="Arial"/>
          <w:sz w:val="18"/>
          <w:szCs w:val="18"/>
          <w:color w:val="231F20"/>
        </w:rPr>
        <w:t xml:space="preserve">. We also experienced a significant increase in usage from paid users as more companies started utilizing our platform to allow their employees to work remotely. </w:t>
      </w:r>
      <w:r>
        <w:rPr>
          <w:rFonts w:ascii="Arial" w:cs="Arial" w:eastAsia="Arial" w:hAnsi="Arial"/>
          <w:sz w:val="18"/>
          <w:szCs w:val="18"/>
          <w:color w:val="000000"/>
        </w:rPr>
        <w:t>This increase in usage resulted in</w:t>
      </w:r>
      <w:r>
        <w:rPr>
          <w:rFonts w:ascii="Arial" w:cs="Arial" w:eastAsia="Arial" w:hAnsi="Arial"/>
          <w:sz w:val="18"/>
          <w:szCs w:val="18"/>
          <w:color w:val="231F20"/>
        </w:rPr>
        <w:t xml:space="preserve"> an increase of </w:t>
      </w:r>
      <w:r>
        <w:rPr>
          <w:rFonts w:ascii="Arial" w:cs="Arial" w:eastAsia="Arial" w:hAnsi="Arial"/>
          <w:sz w:val="18"/>
          <w:szCs w:val="18"/>
          <w:color w:val="000000"/>
        </w:rPr>
        <w:t>$619.2 million</w:t>
      </w:r>
      <w:r>
        <w:rPr>
          <w:rFonts w:ascii="Arial" w:cs="Arial" w:eastAsia="Arial" w:hAnsi="Arial"/>
          <w:sz w:val="18"/>
          <w:szCs w:val="18"/>
          <w:color w:val="231F20"/>
        </w:rPr>
        <w:t xml:space="preserve"> in costs related to third-party cloud hosting, integrated third-party PSTN services, and our co-located data centers to support the increase in customers and expanded use of our unified communications platform by existing customers. The remaining increase was primarily due to an increase of </w:t>
      </w:r>
      <w:r>
        <w:rPr>
          <w:rFonts w:ascii="Arial" w:cs="Arial" w:eastAsia="Arial" w:hAnsi="Arial"/>
          <w:sz w:val="18"/>
          <w:szCs w:val="18"/>
          <w:color w:val="000000"/>
        </w:rPr>
        <w:t>$59.3 million in</w:t>
      </w:r>
      <w:r>
        <w:rPr>
          <w:rFonts w:ascii="Arial" w:cs="Arial" w:eastAsia="Arial" w:hAnsi="Arial"/>
          <w:sz w:val="18"/>
          <w:szCs w:val="18"/>
          <w:color w:val="231F20"/>
        </w:rPr>
        <w:t xml:space="preserve"> </w:t>
      </w:r>
      <w:r>
        <w:rPr>
          <w:rFonts w:ascii="Arial" w:cs="Arial" w:eastAsia="Arial" w:hAnsi="Arial"/>
          <w:sz w:val="18"/>
          <w:szCs w:val="18"/>
          <w:color w:val="000000"/>
        </w:rPr>
        <w:t>personnel-related expenses mainly driven by additional headcount, which includes a $27.1 million increase in stock-based compensation expense; an increase of $18.4 million in professional services mainly for customer support, and an increase of $5.8 million related to subscription to software-based services.</w:t>
      </w:r>
    </w:p>
    <w:p>
      <w:pPr>
        <w:spacing w:after="0" w:line="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Gross margin decreased to 69% for the fiscal year ended January 31, 2021 from 81% for the fiscal year ended January 31, 2020. The decrease in gross margin was due to higher incremental cost from leveraging third-party cloud hosting providers to meet the significant increase in usage as well as the higher percentage of usage from free users.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Research and Development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Year Ended January 31,</w:t>
            </w:r>
          </w:p>
        </w:tc>
        <w:tc>
          <w:tcPr>
            <w:tcW w:w="156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5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(in thousands, except percentages)</w:t>
            </w:r>
          </w:p>
        </w:tc>
        <w:tc>
          <w:tcPr>
            <w:tcW w:w="1560" w:type="dxa"/>
            <w:vAlign w:val="bottom"/>
          </w:tcPr>
          <w:p>
            <w:pPr>
              <w:spacing w:after="0"/>
              <w:rPr>
                <w:sz w:val="18"/>
                <w:szCs w:val="18"/>
                <w:color w:val="auto"/>
              </w:rPr>
            </w:pPr>
          </w:p>
        </w:tc>
      </w:tr>
      <w:tr>
        <w:trPr>
          <w:trHeight w:val="235"/>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164,080</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67,079</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97,001</w:t>
            </w: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145 %</w:t>
            </w:r>
          </w:p>
        </w:tc>
      </w:tr>
    </w:tbl>
    <w:p>
      <w:pPr>
        <w:spacing w:after="0" w:line="20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Research and development expense for the fiscal year ended January 31, 2021 increased by $97.0 million, or 145%, compared to the fiscal year ended January 31, 2020. The increase was primarily due to higher personnel-related expenses of $79.7 million mainly driven by additional headcount, which includes a $38.5 million increase in stock-based compensation expense. The remainder of the increase was primarily attributable to an increase of $12.1 million in professional services mainly related to security, and an increase of $3.4 million related to subscription to software-based services.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Sales and Marketing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4"/>
              </w:rPr>
              <w:t>Year Ended January 31,</w:t>
            </w:r>
          </w:p>
        </w:tc>
        <w:tc>
          <w:tcPr>
            <w:tcW w:w="1560" w:type="dxa"/>
            <w:vAlign w:val="bottom"/>
            <w:tcBorders>
              <w:bottom w:val="single" w:sz="8" w:color="auto"/>
            </w:tcBorders>
          </w:tcPr>
          <w:p>
            <w:pPr>
              <w:spacing w:after="0"/>
              <w:rPr>
                <w:sz w:val="16"/>
                <w:szCs w:val="16"/>
                <w:color w:val="auto"/>
              </w:rPr>
            </w:pPr>
          </w:p>
        </w:tc>
      </w:tr>
      <w:tr>
        <w:trPr>
          <w:trHeight w:val="187"/>
        </w:trPr>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(in thousands, except percentages)</w:t>
            </w:r>
          </w:p>
        </w:tc>
        <w:tc>
          <w:tcPr>
            <w:tcW w:w="1560" w:type="dxa"/>
            <w:vAlign w:val="bottom"/>
          </w:tcPr>
          <w:p>
            <w:pPr>
              <w:spacing w:after="0"/>
              <w:rPr>
                <w:sz w:val="18"/>
                <w:szCs w:val="18"/>
                <w:color w:val="auto"/>
              </w:rPr>
            </w:pPr>
          </w:p>
        </w:tc>
      </w:tr>
      <w:tr>
        <w:trPr>
          <w:trHeight w:val="236"/>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684,904</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340,646</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344,258</w:t>
            </w: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101 %</w:t>
            </w:r>
          </w:p>
        </w:tc>
      </w:tr>
    </w:tbl>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 xml:space="preserve">Sales and marketing expense for the fiscal year ended January 31, 2021 increased by $344.3 million, or 101%, compared to the fiscal year ended January 31, 2020. The increase in sales and marketing expense was primarily due to higher personnel-related expenses of $266.1 million, </w:t>
      </w:r>
      <w:r>
        <w:rPr>
          <w:rFonts w:ascii="Arial" w:cs="Arial" w:eastAsia="Arial" w:hAnsi="Arial"/>
          <w:sz w:val="18"/>
          <w:szCs w:val="18"/>
          <w:color w:val="231F20"/>
        </w:rPr>
        <w:t>mainly driven by</w:t>
      </w:r>
      <w:r>
        <w:rPr>
          <w:rFonts w:ascii="Arial" w:cs="Arial" w:eastAsia="Arial" w:hAnsi="Arial"/>
          <w:sz w:val="18"/>
          <w:szCs w:val="18"/>
          <w:color w:val="auto"/>
        </w:rPr>
        <w:t xml:space="preserve"> </w:t>
      </w:r>
      <w:r>
        <w:rPr>
          <w:rFonts w:ascii="Arial" w:cs="Arial" w:eastAsia="Arial" w:hAnsi="Arial"/>
          <w:sz w:val="18"/>
          <w:szCs w:val="18"/>
          <w:color w:val="231F20"/>
        </w:rPr>
        <w:t>additional headcount in our sales force to support the increased demand</w:t>
      </w:r>
      <w:r>
        <w:rPr>
          <w:rFonts w:ascii="Arial" w:cs="Arial" w:eastAsia="Arial" w:hAnsi="Arial"/>
          <w:sz w:val="18"/>
          <w:szCs w:val="18"/>
          <w:color w:val="000000"/>
        </w:rPr>
        <w:t>, which includes an increase of $104.9 million in stock-based compensation</w:t>
      </w:r>
      <w:r>
        <w:rPr>
          <w:rFonts w:ascii="Arial" w:cs="Arial" w:eastAsia="Arial" w:hAnsi="Arial"/>
          <w:sz w:val="18"/>
          <w:szCs w:val="18"/>
          <w:color w:val="231F20"/>
        </w:rPr>
        <w:t xml:space="preserve"> </w:t>
      </w:r>
      <w:r>
        <w:rPr>
          <w:rFonts w:ascii="Arial" w:cs="Arial" w:eastAsia="Arial" w:hAnsi="Arial"/>
          <w:sz w:val="18"/>
          <w:szCs w:val="18"/>
          <w:color w:val="000000"/>
        </w:rPr>
        <w:t>expense; and an increase of $67.2 million in amortization of deferred contract acquisition costs driven by our increase in revenue. The remaining increase was primarily due to an increase of $68.4 million in credit card processing fees as a result of increased online payments, an increase of $16.0 million in professional services primarily to support the increase in sales, and an increase of $6.2 million related to subscription to software-based services, partially offset by a decrease of $14.6 million in marketing and sales event-related costs mainly due to a decrease in digital and awareness programs and trade shows.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General and Administrative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3"/>
              </w:rPr>
              <w:t>Year Ended January 31,</w:t>
            </w:r>
          </w:p>
        </w:tc>
        <w:tc>
          <w:tcPr>
            <w:tcW w:w="1560" w:type="dxa"/>
            <w:vAlign w:val="bottom"/>
            <w:tcBorders>
              <w:bottom w:val="single" w:sz="8" w:color="auto"/>
            </w:tcBorders>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5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(in thousands, except percentages)</w:t>
            </w:r>
          </w:p>
        </w:tc>
        <w:tc>
          <w:tcPr>
            <w:tcW w:w="1560" w:type="dxa"/>
            <w:vAlign w:val="bottom"/>
          </w:tcPr>
          <w:p>
            <w:pPr>
              <w:spacing w:after="0"/>
              <w:rPr>
                <w:sz w:val="18"/>
                <w:szCs w:val="18"/>
                <w:color w:val="auto"/>
              </w:rPr>
            </w:pPr>
          </w:p>
        </w:tc>
      </w:tr>
      <w:tr>
        <w:trPr>
          <w:trHeight w:val="235"/>
        </w:trPr>
        <w:tc>
          <w:tcPr>
            <w:tcW w:w="5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320,547</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86,841</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233,706</w:t>
            </w: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269 %</w:t>
            </w:r>
          </w:p>
        </w:tc>
      </w:tr>
    </w:tbl>
    <w:p>
      <w:pPr>
        <w:spacing w:after="0" w:line="20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General and administrative expense for the fiscal year ended January 31, 2021 increased by $233.7 million, or 269%, compared to the fiscal year ended January 31, 2020. The increase in general and administrative expense was primarily due to an increase of $71.8 million in personnel-related expenses mainly driven by additional headcount, which includes a $32.2 million increase in stock-based compensation expense; and an increase of $66.9 million related to professional services composed primarily of legal and other consulting fees. The remaining increase was primarily due to an increase of $30.2 million related to a contingent liability for sales and other indirect taxes, an increase of $25.7 million due to charitable donations related mainly to shares transferred to a donor advised fund, an increase of $13.4 million related to subscription to software-based services, an increase of $10.2 million related to insurance expenses and $9.8 million for a one-time payment to MPEG LA, LLC (“MPEGLA”).</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Year Ended January 31,</w:t>
            </w:r>
          </w:p>
        </w:tc>
        <w:tc>
          <w:tcPr>
            <w:tcW w:w="1560" w:type="dxa"/>
            <w:vAlign w:val="bottom"/>
            <w:tcBorders>
              <w:bottom w:val="single" w:sz="8" w:color="auto"/>
            </w:tcBorders>
          </w:tcPr>
          <w:p>
            <w:pPr>
              <w:spacing w:after="0"/>
              <w:rPr>
                <w:sz w:val="16"/>
                <w:szCs w:val="16"/>
                <w:color w:val="auto"/>
              </w:rPr>
            </w:pPr>
          </w:p>
        </w:tc>
      </w:tr>
      <w:tr>
        <w:trPr>
          <w:trHeight w:val="187"/>
        </w:trPr>
        <w:tc>
          <w:tcPr>
            <w:tcW w:w="5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5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(in thousands, except percentages)</w:t>
            </w:r>
          </w:p>
        </w:tc>
        <w:tc>
          <w:tcPr>
            <w:tcW w:w="1560" w:type="dxa"/>
            <w:vAlign w:val="bottom"/>
          </w:tcPr>
          <w:p>
            <w:pPr>
              <w:spacing w:after="0"/>
              <w:rPr>
                <w:sz w:val="18"/>
                <w:szCs w:val="18"/>
                <w:color w:val="auto"/>
              </w:rPr>
            </w:pPr>
          </w:p>
        </w:tc>
      </w:tr>
      <w:tr>
        <w:trPr>
          <w:trHeight w:val="235"/>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 and other, net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18,186</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13,666</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4,520</w:t>
            </w:r>
          </w:p>
        </w:tc>
        <w:tc>
          <w:tcPr>
            <w:tcW w:w="12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33 %</w:t>
            </w: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Interest income and other, net for the fiscal year ended January 31, 2021 increased by $4.5 million, or 33%, compared to the fiscal year ended January 31, 2020. The increase was primarily attributable to a gain of $3.5 million related to changes in foreign currency exchange rates and a gain of $2.5 million related to the remeasurement of our equity investment.</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4"/>
              </w:rPr>
              <w:t>Year Ended January 31,</w:t>
            </w:r>
          </w:p>
        </w:tc>
        <w:tc>
          <w:tcPr>
            <w:tcW w:w="1560" w:type="dxa"/>
            <w:vAlign w:val="bottom"/>
            <w:tcBorders>
              <w:bottom w:val="single" w:sz="8" w:color="auto"/>
            </w:tcBorders>
          </w:tcPr>
          <w:p>
            <w:pPr>
              <w:spacing w:after="0"/>
              <w:rPr>
                <w:sz w:val="16"/>
                <w:szCs w:val="16"/>
                <w:color w:val="auto"/>
              </w:rPr>
            </w:pPr>
          </w:p>
        </w:tc>
      </w:tr>
      <w:tr>
        <w:trPr>
          <w:trHeight w:val="187"/>
        </w:trPr>
        <w:tc>
          <w:tcPr>
            <w:tcW w:w="5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 Change</w:t>
            </w:r>
          </w:p>
        </w:tc>
      </w:tr>
      <w:tr>
        <w:trPr>
          <w:trHeight w:val="218"/>
        </w:trPr>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(in thousands, except percentages)</w:t>
            </w:r>
          </w:p>
        </w:tc>
        <w:tc>
          <w:tcPr>
            <w:tcW w:w="1560" w:type="dxa"/>
            <w:vAlign w:val="bottom"/>
          </w:tcPr>
          <w:p>
            <w:pPr>
              <w:spacing w:after="0"/>
              <w:rPr>
                <w:sz w:val="18"/>
                <w:szCs w:val="18"/>
                <w:color w:val="auto"/>
              </w:rPr>
            </w:pPr>
          </w:p>
        </w:tc>
      </w:tr>
      <w:tr>
        <w:trPr>
          <w:trHeight w:val="235"/>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5,718</w:t>
            </w: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4,661</w:t>
            </w: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441 %</w:t>
            </w: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Provision for income taxes for the fiscal year ended January 31, 2021 increased by $4.7 million, or 441%, compared to the fiscal year ended January 31, 2020. The change in provision for income taxes was primarily due to expansion in international operations.</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a discussion of the fiscal year ended January 31, 2020 compared to the fiscal year ended January 31, 2019, please refer to Part II, Item 7, “Management's Discussion and Analysis of Financial Condition and Results of Operations” in our Annual Report on Form 10-K for the fiscal year ended January 31,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 of January 31, 2021, our principal sources of liquidity were cash, cash equivalents, and marketable securities of $4.2 billion, which were held for working capital purposes and for investment in growth opportunities. Our marketable securities generally consist of high-grade commercial paper, corporate bonds, agency bonds, corporate and other debt securities, U.S. government agency securities, and treasury bills.</w:t>
      </w:r>
    </w:p>
    <w:p>
      <w:pPr>
        <w:spacing w:after="0" w:line="5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have financed our operations primarily through income from operations and sales of equity securities. Cash from operations could also be affected by various risks and uncertainties, including, but not limited to, the effects of the COVID-19 pandemic, including timing of cash collections from our customers and other risks detailed in the section titled “Risk Factors.” However, based on our current business plan and revenue prospects, we believe our existing cash, cash equivalents, and marketable securities, together with net cash provided by operations, will be sufficient to meet our needs for at least the next 12 months and allow us to capitalize on growth opportunities.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and the timing and extent of additional capital expenditures to invest in existing and new office spaces as well as data center infrastructure.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4"/>
              </w:rPr>
              <w:t>Year Ended January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7"/>
        </w:trPr>
        <w:tc>
          <w:tcPr>
            <w:tcW w:w="6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r>
      <w:tr>
        <w:trPr>
          <w:trHeight w:val="218"/>
        </w:trPr>
        <w:tc>
          <w:tcPr>
            <w:tcW w:w="6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(in thousands)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89"/>
              </w:rPr>
              <w:t>1,471,177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89"/>
              </w:rPr>
              <w:t>151,892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87"/>
              </w:rPr>
              <w:t>51,332</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center"/>
              <w:ind w:left="275"/>
              <w:spacing w:after="0"/>
              <w:rPr>
                <w:sz w:val="20"/>
                <w:szCs w:val="20"/>
                <w:color w:val="auto"/>
              </w:rPr>
            </w:pPr>
            <w:r>
              <w:rPr>
                <w:rFonts w:ascii="Arial" w:cs="Arial" w:eastAsia="Arial" w:hAnsi="Arial"/>
                <w:sz w:val="18"/>
                <w:szCs w:val="18"/>
                <w:color w:val="auto"/>
                <w:w w:val="91"/>
              </w:rPr>
              <w:t>(1,562,420)</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1400" w:type="dxa"/>
            <w:vAlign w:val="bottom"/>
          </w:tcPr>
          <w:p>
            <w:pPr>
              <w:jc w:val="center"/>
              <w:ind w:left="557"/>
              <w:spacing w:after="0"/>
              <w:rPr>
                <w:sz w:val="20"/>
                <w:szCs w:val="20"/>
                <w:color w:val="auto"/>
              </w:rPr>
            </w:pPr>
            <w:r>
              <w:rPr>
                <w:rFonts w:ascii="Arial" w:cs="Arial" w:eastAsia="Arial" w:hAnsi="Arial"/>
                <w:sz w:val="18"/>
                <w:szCs w:val="18"/>
                <w:color w:val="auto"/>
                <w:w w:val="93"/>
              </w:rPr>
              <w:t>(499,468)</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center"/>
              <w:ind w:left="515"/>
              <w:spacing w:after="0"/>
              <w:rPr>
                <w:sz w:val="20"/>
                <w:szCs w:val="20"/>
                <w:color w:val="auto"/>
              </w:rPr>
            </w:pPr>
            <w:r>
              <w:rPr>
                <w:rFonts w:ascii="Arial" w:cs="Arial" w:eastAsia="Arial" w:hAnsi="Arial"/>
                <w:sz w:val="18"/>
                <w:szCs w:val="18"/>
                <w:color w:val="auto"/>
                <w:w w:val="92"/>
              </w:rPr>
              <w:t>(39,719)</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89"/>
              </w:rPr>
              <w:t>2,050,277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89"/>
              </w:rPr>
              <w:t>615,690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center"/>
              <w:ind w:left="535"/>
              <w:spacing w:after="0"/>
              <w:rPr>
                <w:sz w:val="20"/>
                <w:szCs w:val="20"/>
                <w:color w:val="auto"/>
              </w:rPr>
            </w:pPr>
            <w:r>
              <w:rPr>
                <w:rFonts w:ascii="Arial" w:cs="Arial" w:eastAsia="Arial" w:hAnsi="Arial"/>
                <w:sz w:val="18"/>
                <w:szCs w:val="18"/>
                <w:color w:val="auto"/>
                <w:w w:val="87"/>
              </w:rPr>
              <w:t>17,534</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largest source of operating cash is cash collections from our customers for subscriptions to our platform. Our primary uses of cash from operating activities are for employee-related expenditures, costs related to hosting our platform, and marketing expenses. Net cash provided by operating activities is impacted by our net income adjusted for certain non-cash items, such as stock-based compensation expense, depreciation and amortization expenses, as well as the effect of changes in operating assets and liabilities.</w:t>
      </w:r>
    </w:p>
    <w:p>
      <w:pPr>
        <w:spacing w:after="0" w:line="7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Net cash provided by operating activities was $1,471.2 million for the fiscal year ended January 31, 2021, compared to $151.9 million for the fiscal year ended January 31, 2020. The increase in operating cash flow was due to an increase in net income of $647.0 million, the positive impact from changes in operating assets and liabilities of $332.1 million, and an increase in non-cash adjustments of $340.2 million, which is primarily a result of higher stock-based compensation expense, higher deferred contract acquisition cost amortization due to an increase in capitalized commissions as we continue to grow and expand our customer base, higher provision for accounts receivable allowances due to higher accounts receivable balances, and expenses related to a charitable donation of common stock in the current fiscal year.</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Net cash used in investing activities of $1,562.4 million for the fiscal year ended January 31, 2021 was primarily due to net purchases of marketable securities of $1,438.8 million, purchases of property and equipment of $80.0 million, cash paid for acquisition, net of cash acquired, of $26.5 million, purchase of an equity investment of $8.0 million, purchases of intangible assets of $5.8 million, and purchase of a convertible note of $5.0 million.</w:t>
      </w:r>
    </w:p>
    <w:p>
      <w:pPr>
        <w:spacing w:after="0" w:line="4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Net cash used in investing activities of $499.5 million for the fiscal year ended January 31, 2020 was primarily due to net purchases of marketable securities of $456.7 million and purchases of property and equipment of $38.1 million.</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Net cash provided by financing activities of $2,050.3 million for the fiscal year ended January 31, 2021 was due to proceeds from our follow-on offering, net of underwriting discounts and commissions and other offering costs, of $1,979.2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million, proceeds from issuance of common stock pursuant to our employee stock purchase plan (“ESPP”) of $38.4 million, proceeds from the exercise of stock options of $28.6 million, and proceeds from international employee stock sales to be remitted to employees and tax authorities of $4.1 million.</w:t>
      </w:r>
    </w:p>
    <w:p>
      <w:pPr>
        <w:spacing w:after="0" w:line="1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Net cash provided by financing activities of $615.7 million for the fiscal year ended January 31, 2020 was due to proceeds from the issuance of Class A common stock in connection with the IPO and private placement, net of underwriting discounts and commissions and other offering costs, of $542.5 million, proceeds from international employee stock sales to be remitted to employees and tax authorities of $48.5 million, proceeds from issuance of common stock pursuant to our ESPP of $15.5 million, and proceeds from the exercise of stock options, net of repurchases, of $9.2 million.</w:t>
      </w:r>
    </w:p>
    <w:p>
      <w:pPr>
        <w:spacing w:after="0" w:line="4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a discussion of the fiscal year ended January 31, 2019, please refer to Part II, Item 7, “Management's Discussion and Analysis of Financial Condition and Results of Operations” in our Annual Report on Form 10-K for the fiscal year ended January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non-cancelable contractual obligations as of January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1 – 3</w:t>
            </w:r>
          </w:p>
        </w:tc>
        <w:tc>
          <w:tcPr>
            <w:tcW w:w="300" w:type="dxa"/>
            <w:vAlign w:val="bottom"/>
          </w:tcPr>
          <w:p>
            <w:pPr>
              <w:spacing w:after="0"/>
              <w:rPr>
                <w:sz w:val="11"/>
                <w:szCs w:val="11"/>
                <w:color w:val="auto"/>
              </w:rPr>
            </w:pPr>
          </w:p>
        </w:tc>
        <w:tc>
          <w:tcPr>
            <w:tcW w:w="112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9"/>
              </w:rPr>
              <w:t>3 – 5</w:t>
            </w:r>
          </w:p>
        </w:tc>
        <w:tc>
          <w:tcPr>
            <w:tcW w:w="220" w:type="dxa"/>
            <w:vAlign w:val="bottom"/>
          </w:tcPr>
          <w:p>
            <w:pPr>
              <w:spacing w:after="0"/>
              <w:rPr>
                <w:sz w:val="11"/>
                <w:szCs w:val="11"/>
                <w:color w:val="auto"/>
              </w:rPr>
            </w:pPr>
          </w:p>
        </w:tc>
        <w:tc>
          <w:tcPr>
            <w:tcW w:w="1120" w:type="dxa"/>
            <w:vAlign w:val="bottom"/>
          </w:tcPr>
          <w:p>
            <w:pPr>
              <w:jc w:val="right"/>
              <w:ind w:right="237"/>
              <w:spacing w:after="0" w:line="135"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1 Year</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4"/>
              </w:rPr>
              <w:t>Years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8"/>
        </w:trPr>
        <w:tc>
          <w:tcPr>
            <w:tcW w:w="4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121,980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24,808</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Non-cancelable purchase obligations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498,626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620,606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24,808</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The contractual commitment amounts in the table above are associated with agreements that are enforceable and legally binding. Obligations under contracts that we can cancel without a significant penalty are not included in the table above. See the “Future minimum lease payments” table in Note 7 and “Non-cancelable Purchase Obligations” in Note 8 to our consolidated financial statements included in Part II, Item 8 of this Form 10-K for more details.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do not have any off-balance sheet arrangements as defined in Item 303(a)(4)(ii) of Regulation S-K promulgated by the SEC under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critical accounting policies, estimates, assumptions, and judgments that we believe have the most significant impact on our consolidated financial statements are described below.</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derive our revenue primarily from subscription agreements with customers for access to our unified communications platform and services. We also provide other services, which include professional services, consulting services, and online event hosting, which were immaterial to our consolidated financial statements. Revenue is recognized when a customer obtains control of promised services. The amount of revenue recognized reflects the consideration that we expect to receive in exchange for these services. We determine revenue recognition through the following steps: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Identification of the contract, or contracts, with the customer</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9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Identification of the performance obligations in the contract</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or products is separately identifiable from other promises in the contract. Promised services or products under which both of these two criteria are not met are recognized as a combined, single performance obligation. Our performance obligations primarily relate to access to our unified communications platform, which consists of one or more software-based services. Our customers do not have the ability to take possession of our software, and through access to our platform, we provide a series of distinct software-based services that are satisfied over the term of the subscription.</w:t>
      </w:r>
    </w:p>
    <w:p>
      <w:pPr>
        <w:spacing w:after="0" w:line="17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the transaction price</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6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unified communications platform and related services are typically warranted to perform in a professional manner that will comply with the terms of the subscription agreements. In addition, we include service-level commitments to our customers warranting certain levels of uptime reliability and performance and permitting those customers to receive credits in the event that we fail to meet those service levels. These credits represent a form of variable consideration. We have not provided any material refunds related to these agreements in the consolidated financial statements during the periods presented.</w:t>
      </w:r>
    </w:p>
    <w:p>
      <w:pPr>
        <w:spacing w:after="0" w:line="18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Allocation of the transaction price to the performance obligations in the contract</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 Our contracts with multiple performance obligations are generally sold over the same subscription term and have the same pattern of transfer to the customer, and so they are accounted for as one combined performance obligation in the context of the contract. Accordingly, the transaction price is allocated to this single performance obligation.</w:t>
      </w:r>
    </w:p>
    <w:p>
      <w:pPr>
        <w:spacing w:after="0" w:line="18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Recognition of the revenue when, or as, a performance obligation is satisfied</w:t>
      </w:r>
    </w:p>
    <w:p>
      <w:pPr>
        <w:spacing w:after="0" w:line="117"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unified communications platform and related services are subscription revenue and are considered one performance obligation, and the related revenue is recognized ratably over the subscription period as we satisfy the performance obligation.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contract may occur before invoicing to the customer resulting in an unbilled accounts receivable.</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liabilities consist of deferred revenue. Revenue is deferred when we have the right to invoice in advance of performance under a customer contract. The current portion of deferred revenue balances are recognized during the following 12-month period.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to Obtain a Contract</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primarily capitalize sales commissions and associated payroll taxes paid to internal sales personnel that are incremental costs from the acquisition of customer contracts. These costs are recorded as deferred contract acquisition costs in the consolidated balance sheets. We determine whether costs should be deferred based on our sales compensation plans and if the commissions are incremental and would not have occurred absent the customer contract.</w:t>
      </w:r>
    </w:p>
    <w:p>
      <w:pPr>
        <w:spacing w:after="0" w:line="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Sales commissions paid upon the initial acquisition of a customer contract are amortized over an estimated period of benefit of three years, which is typically greater than the contractual terms of the customer contracts.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unified communications platform and related significant features. Amortization of deferred contract acquisition costs is included in sales and marketing expense in the consolidated statements of operations.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maintain an allowance for credit losses for expected uncollectible accounts receivable, which is recorded as an offset to accounts receivable, and changes in such are classified as general and administrative expense in the consolidated statements of operations. The allowance for credit losses is based on management’s estimate for expected credit losses for outstanding accounts receivable. We determine expected credit losses based on historical write-off experience, an analysis of the aging of outstanding receivables, customer payment patterns, the establishment of specific reserves for customers in an adverse financial condition, and adjust based upon our expectations of changes in macroeconomic conditions that may impact the collectibility of outstanding receivables, including noncurrent accounts receivable. We also consider current market conditions and reasonable and supportable forecasts of future economic conditions to inform adjustments to historical loss data. We reassess the adequacy of the allowance for credit losses each reporting period.</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 and Valuation of Goodwill and Intangible Assets</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estimates and assumptions, especially with respect to intangible assets. Our estimates of fair value are based upon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spacing w:after="0" w:line="73"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Goodwill amounts are not amortized, but rather tested for impairment at least annually, in the fourth quarter of each fiscal year, or more often if circumstances indicate that the carrying value may not be recoverable. As of January 31, 2021, no impairment of goodwill has been identified.</w:t>
      </w:r>
    </w:p>
    <w:p>
      <w:pPr>
        <w:spacing w:after="0" w:line="3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Intangible assets consist of acquired identifiable intangible assets resulting from business combinations, as well as other intangible assets purchased outside of a business combination. Finite-lived intangible assets are initially recorded at fair value and are amortized on a straight-line basis over their estimated useful lives. We routinely evaluate the estimated remaining useful lives of our finite-lived intangible assets and whether events or changes in circumstances warrant a revision to the remaining period of amortization. Indefinite-lived intangible assets are recorded at fair value and are not amortized. We review the useful lives of indefinite-lived intangible assets each reporting period to determine whether events and circumstances continue to support the indefinite useful life classification. If we determine that the life of an intangible asset is no longer indefinite, that asset would be tested for impairment and amortized prospectively over its estimated remaining useful life. We have not recorded any impairment charges during the fiscal years presented.</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represent management’s best estimates. These estimates involve inherent uncertainties and the application of management’s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76"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As noted above, our use of the Black-Scholes option-pricing model requires the input of highly subjective assumptions. If factors change and different assumptions are used, our stock-based compensation expense could be materially different for the current period and in the future.</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assumptions and estimates used in the Black-Scholes option-pricing model are as follows:</w:t>
      </w:r>
    </w:p>
    <w:p>
      <w:pPr>
        <w:spacing w:after="0" w:line="117" w:lineRule="exact"/>
        <w:rPr>
          <w:sz w:val="20"/>
          <w:szCs w:val="20"/>
          <w:color w:val="auto"/>
        </w:rPr>
      </w:pPr>
    </w:p>
    <w:p>
      <w:pPr>
        <w:jc w:val="both"/>
        <w:ind w:left="1140" w:hanging="646"/>
        <w:spacing w:after="0" w:line="296" w:lineRule="auto"/>
        <w:tabs>
          <w:tab w:leader="none" w:pos="113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Fair Value of Common Stock. </w:t>
      </w:r>
      <w:r>
        <w:rPr>
          <w:rFonts w:ascii="Arial" w:cs="Arial" w:eastAsia="Arial" w:hAnsi="Arial"/>
          <w:sz w:val="16"/>
          <w:szCs w:val="16"/>
          <w:color w:val="auto"/>
        </w:rPr>
        <w:t>Prior to our IPO, the fair value was determined by our board of directors, with input from management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valuation reports prepared by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 After our IPO, the fair value of common stock for each grant date was determined based on the closing price of our Class A common stock as reported on the date of the respective grant.</w:t>
      </w:r>
    </w:p>
    <w:p>
      <w:pPr>
        <w:spacing w:after="0" w:line="53" w:lineRule="exact"/>
        <w:rPr>
          <w:rFonts w:ascii="Arial" w:cs="Arial" w:eastAsia="Arial" w:hAnsi="Arial"/>
          <w:sz w:val="16"/>
          <w:szCs w:val="16"/>
          <w:color w:val="auto"/>
        </w:rPr>
      </w:pPr>
    </w:p>
    <w:p>
      <w:pPr>
        <w:ind w:left="1140" w:hanging="646"/>
        <w:spacing w:after="0" w:line="277" w:lineRule="auto"/>
        <w:tabs>
          <w:tab w:leader="none" w:pos="113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for the expected term of the options was based on the U.S. Treasury yield curve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the grant.</w:t>
      </w:r>
    </w:p>
    <w:p>
      <w:pPr>
        <w:spacing w:after="0" w:line="62" w:lineRule="exact"/>
        <w:rPr>
          <w:rFonts w:ascii="Arial" w:cs="Arial" w:eastAsia="Arial" w:hAnsi="Arial"/>
          <w:sz w:val="18"/>
          <w:szCs w:val="18"/>
          <w:color w:val="auto"/>
        </w:rPr>
      </w:pPr>
    </w:p>
    <w:p>
      <w:pPr>
        <w:jc w:val="both"/>
        <w:ind w:left="1140" w:hanging="646"/>
        <w:spacing w:after="0" w:line="257" w:lineRule="auto"/>
        <w:tabs>
          <w:tab w:leader="none" w:pos="113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options represents the period of time that options are expected to be outstanding. Our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exercise experience does not provide a reasonable basis upon which to estimate an expected term due to a lack of sufficient data. For stock options granted to employees, we estimate the expected term by using the simplified method. The simplified method calculates the expected term as the average of the time-to-vesting and the contractual life of the options. For stock options granted to non-employees, the expected term equals the contractual term of the option.</w:t>
      </w:r>
    </w:p>
    <w:p>
      <w:pPr>
        <w:spacing w:after="0" w:line="79" w:lineRule="exact"/>
        <w:rPr>
          <w:rFonts w:ascii="Arial" w:cs="Arial" w:eastAsia="Arial" w:hAnsi="Arial"/>
          <w:sz w:val="18"/>
          <w:szCs w:val="18"/>
          <w:color w:val="auto"/>
        </w:rPr>
      </w:pPr>
    </w:p>
    <w:p>
      <w:pPr>
        <w:jc w:val="both"/>
        <w:ind w:left="1140" w:hanging="646"/>
        <w:spacing w:after="0" w:line="263" w:lineRule="auto"/>
        <w:tabs>
          <w:tab w:leader="none" w:pos="113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we have a limited trading history for our common stock, the expected volatility was estimated by taking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 price volatility for industry peers, consisting of several public companies in our industry, which are either similar in size, stage of life cycle, or financial leverage, over a period equivalent to the expected term of the awards.</w:t>
      </w:r>
    </w:p>
    <w:p>
      <w:pPr>
        <w:spacing w:after="0" w:line="75" w:lineRule="exact"/>
        <w:rPr>
          <w:rFonts w:ascii="Arial" w:cs="Arial" w:eastAsia="Arial" w:hAnsi="Arial"/>
          <w:sz w:val="18"/>
          <w:szCs w:val="18"/>
          <w:color w:val="auto"/>
        </w:rPr>
      </w:pPr>
    </w:p>
    <w:p>
      <w:pPr>
        <w:ind w:left="1140" w:hanging="646"/>
        <w:spacing w:after="0" w:line="277" w:lineRule="auto"/>
        <w:tabs>
          <w:tab w:leader="none" w:pos="113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an expected dividend yield of zero percent was used.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valuing our common stock prior to our IPO, the fair value of our business, or enterprise value, was determined using either the market approach or a combination of the market and income approaches. The market approach estimates value based on a comparison of the subject company to comparable public companies in a similar line of business and secondary transactions of our capital stock. From the comparable companies, a representative market value multiple is determined and then applied to the subject company’s financial results to estimate the value of the subject company. The market approach also includes consideration of the transaction price of secondary sales of our capital stock by investors. The income approach estimates the fair value of a company based on the present value of our future estimated cash flows and our residual value beyond the forecast period. These future cash flows, including the cash flows beyond the forecast period for the residual value, are discounted to their present values using an appropriate discount rate, to reflect the risks inherent in us achieving these estimated cash flows.</w:t>
      </w:r>
    </w:p>
    <w:p>
      <w:pPr>
        <w:spacing w:after="0" w:line="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resulting equity value is then allocated to each class of stock using an Option Pricing Model (“OPM”). The OPM treats common stock and convertible preferred stock as call options on an equity value, with exercise prices based on the liquidation preference of our convertible preferred stock. The common stock is modeled as a call option with a claim on the equity value at an exercise price equal to the remaining value immediately after our convertible preferred stock is liquidated. The exclusive reliance on the OPM through July 31, 2018 was appropriate when the range of possible future outcomes was difficult to predict and resulted in a highly speculative forecast. Beginning in October 2018, we performed the equity allocation using a probability weighted expected return method (“PWERM”). The PWERM involves the estimation of the value of our company under multiple future potential outcomes, and estimates the probability of each potential outcome. The per share value of our common stock when determined using the PWERM was ultimately based upon probability-weighted per share values resulting from the various future scenarios, which include an IPO, merger or sale, or continued operation as a private company. After the equity value was determined and allocated to the various classes of shares, a discount for lack of marketability (“DLOM”) was applied to arrive at the fair value of common stock on a non-marketable basis. A DLOM is applied based on the theory that as an owner of a private company stock, the stockholder has limited information and opportunities to sell this stock.</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market participant that would purchase this stock would recognize this risk and thereby require a higher rate of return, which would reduce the overall fair market value.</w:t>
      </w:r>
    </w:p>
    <w:p>
      <w:pPr>
        <w:spacing w:after="0" w:line="6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Prior to the completion of our IPO on April 18, 2019, our assessments of the fair value of common stock for grant dates were based in part on the current available financial and operational information and the common stock value provided in the most recent valuation as compared to the timing of each grant. For financial reporting purposes, we considered the amount of time between the valuation date and the grant date to determine whether to use the latest common stock valuation or a straight-line interpolation between the two valuation dates. This determination included an evaluation of whether the subsequent valuation indicated that any significant change in valuation had occurred between the previous valuation and the grant date.</w:t>
      </w:r>
    </w:p>
    <w:p>
      <w:pPr>
        <w:spacing w:after="0" w:line="5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valuation after our IPO, the fair value of common stock for each grant date was determined based on the closing price of our Class A common stock as reported on the Nasdaq Global Select Market on the date of the respective grant.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Employee Stock Purchase Plan Valuation</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account for stock-based compensation expense related to our ESPP purchase rights based on the estimated grant date fair value, which is calculated using the Black-Scholes option pricing model and the aggregate number of shares of our common stock expected to be purchased under each offering. The assumptions used to determine the fair value of the ESPP purchase rights, including the expected term of the awards, the expected volatility of the price of our common stock, risk-free interest rates, and the expected dividend yield of our common stock, represent management’s best estimates. These estimates involve inherent uncertainties and the application of management’s judgment. The related stock-based compensation expense is recognized on a straight-line basis over the term of each ESPP offering period, which is generally two years. We account for modifications to employee contributions as they occur.</w:t>
      </w:r>
    </w:p>
    <w:p>
      <w:pPr>
        <w:spacing w:after="0" w:line="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use of the Black-Scholes option-pricing model requires the input of highly subjective assumptions. If factors change and different assumptions are used, our stock-based compensation expense could be materially different for the current period and in the future.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assumptions and estimates used in the Black-Scholes option-pricing model are as follows:</w:t>
      </w:r>
    </w:p>
    <w:p>
      <w:pPr>
        <w:spacing w:after="0" w:line="117" w:lineRule="exact"/>
        <w:rPr>
          <w:sz w:val="20"/>
          <w:szCs w:val="20"/>
          <w:color w:val="auto"/>
        </w:rPr>
      </w:pPr>
    </w:p>
    <w:p>
      <w:pPr>
        <w:ind w:left="1140" w:right="20" w:hanging="646"/>
        <w:spacing w:after="0" w:line="277" w:lineRule="auto"/>
        <w:tabs>
          <w:tab w:leader="none" w:pos="113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for the expected term of the awards was based on the U.S. Treasury yield curve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the grant.</w:t>
      </w:r>
    </w:p>
    <w:p>
      <w:pPr>
        <w:spacing w:after="0" w:line="62" w:lineRule="exact"/>
        <w:rPr>
          <w:rFonts w:ascii="Arial" w:cs="Arial" w:eastAsia="Arial" w:hAnsi="Arial"/>
          <w:sz w:val="18"/>
          <w:szCs w:val="18"/>
          <w:color w:val="auto"/>
        </w:rPr>
      </w:pPr>
    </w:p>
    <w:p>
      <w:pPr>
        <w:ind w:left="1140" w:hanging="646"/>
        <w:spacing w:after="0"/>
        <w:tabs>
          <w:tab w:leader="none" w:pos="114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the ESPP represents the period of time that purchase rights are expected to be outstanding.</w:t>
      </w:r>
    </w:p>
    <w:p>
      <w:pPr>
        <w:spacing w:after="0" w:line="128" w:lineRule="exact"/>
        <w:rPr>
          <w:rFonts w:ascii="Arial" w:cs="Arial" w:eastAsia="Arial" w:hAnsi="Arial"/>
          <w:sz w:val="17"/>
          <w:szCs w:val="17"/>
          <w:color w:val="auto"/>
        </w:rPr>
      </w:pPr>
    </w:p>
    <w:p>
      <w:pPr>
        <w:jc w:val="both"/>
        <w:ind w:left="1140" w:hanging="646"/>
        <w:spacing w:after="0" w:line="255" w:lineRule="auto"/>
        <w:tabs>
          <w:tab w:leader="none" w:pos="113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For the ESPP purchase rights granted during the fiscal year ended January 31, 2020, as we have a limited trading</w:t>
      </w:r>
      <w:r>
        <w:rPr>
          <w:rFonts w:ascii="Arial" w:cs="Arial" w:eastAsia="Arial" w:hAnsi="Arial"/>
          <w:sz w:val="18"/>
          <w:szCs w:val="18"/>
          <w:i w:val="1"/>
          <w:iCs w:val="1"/>
          <w:color w:val="auto"/>
        </w:rPr>
        <w:t xml:space="preserve"> </w:t>
      </w:r>
      <w:r>
        <w:rPr>
          <w:rFonts w:ascii="Arial" w:cs="Arial" w:eastAsia="Arial" w:hAnsi="Arial"/>
          <w:sz w:val="18"/>
          <w:szCs w:val="18"/>
          <w:color w:val="auto"/>
        </w:rPr>
        <w:t>history for our common stock, the expected volatility was estimated by taking the average historic price volatility for industry peers, consisting of several public companies in our industry which are either similar in size, stage of life cycle, or financial leverage, over a period equivalent to the expected term of the awards. For the ESPP purchase rights granted during the fiscal year ended January 31, 2021, expected volatility was determined using a combination of the implied volatility of publicly traded options in our stock and historical volatility of our stock price.</w:t>
      </w:r>
    </w:p>
    <w:p>
      <w:pPr>
        <w:spacing w:after="0" w:line="84" w:lineRule="exact"/>
        <w:rPr>
          <w:rFonts w:ascii="Arial" w:cs="Arial" w:eastAsia="Arial" w:hAnsi="Arial"/>
          <w:sz w:val="18"/>
          <w:szCs w:val="18"/>
          <w:color w:val="auto"/>
        </w:rPr>
      </w:pPr>
    </w:p>
    <w:p>
      <w:pPr>
        <w:ind w:left="1140" w:hanging="646"/>
        <w:spacing w:after="0" w:line="277" w:lineRule="auto"/>
        <w:tabs>
          <w:tab w:leader="none" w:pos="1135"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an expected dividend yield of zero percent was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See “Summary of Business and Significant Accounting Policies” in Note 1 to our consolidated financial statements included in Part II, Item 8 of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QUALITATIVE AND QUANTITATIVE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and Exchange Risk</w:t>
      </w:r>
    </w:p>
    <w:p>
      <w:pPr>
        <w:spacing w:after="0" w:line="11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vast majority of our cash generated from revenue is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 statements for the fiscal years ended January 31, 2021, 2020, and 2019. As the impact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had cash and cash equivalents of $2.2 billion and marketable securities of $2.0 billion as of January 31, 2021. Cash and cash equivalents consist of bank deposits, money market funds, high-grade commercial paper, and agency bonds. Our marketable securities generally consist of high-grade commercial paper, agency bonds, corporate and other debt securities, U.S. government agency securities, and treasury bills.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 for the fiscal years ended January 31, 2021, 2020, and 2019.</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23"/>
        </w:trPr>
        <w:tc>
          <w:tcPr>
            <w:tcW w:w="9000" w:type="dxa"/>
            <w:vAlign w:val="bottom"/>
            <w:shd w:val="clear" w:color="auto" w:fill="CCEEFF"/>
          </w:tcPr>
          <w:p>
            <w:pPr>
              <w:ind w:left="20"/>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Report of Independent Registered Public Accounting Firm</w:t>
              </w:r>
            </w:hyperlink>
          </w:p>
        </w:tc>
        <w:tc>
          <w:tcPr>
            <w:tcW w:w="224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61">
              <w:r>
                <w:rPr>
                  <w:rFonts w:ascii="Arial" w:cs="Arial" w:eastAsia="Arial" w:hAnsi="Arial"/>
                  <w:sz w:val="18"/>
                  <w:szCs w:val="18"/>
                  <w:u w:val="single" w:color="auto"/>
                  <w:color w:val="0000FF"/>
                  <w:w w:val="89"/>
                </w:rPr>
                <w:t>61</w:t>
              </w:r>
            </w:hyperlink>
          </w:p>
        </w:tc>
      </w:tr>
      <w:tr>
        <w:trPr>
          <w:trHeight w:val="229"/>
        </w:trPr>
        <w:tc>
          <w:tcPr>
            <w:tcW w:w="9000" w:type="dxa"/>
            <w:vAlign w:val="bottom"/>
          </w:tcPr>
          <w:p>
            <w:pPr>
              <w:ind w:left="20"/>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Consolidated Balance Sheets</w:t>
              </w:r>
            </w:hyperlink>
          </w:p>
        </w:tc>
        <w:tc>
          <w:tcPr>
            <w:tcW w:w="2240" w:type="dxa"/>
            <w:vAlign w:val="bottom"/>
          </w:tcPr>
          <w:p>
            <w:pPr>
              <w:jc w:val="center"/>
              <w:spacing w:after="0"/>
              <w:rPr>
                <w:rFonts w:ascii="Arial" w:cs="Arial" w:eastAsia="Arial" w:hAnsi="Arial"/>
                <w:sz w:val="18"/>
                <w:szCs w:val="18"/>
                <w:u w:val="single" w:color="auto"/>
                <w:color w:val="0000FF"/>
                <w:w w:val="89"/>
              </w:rPr>
            </w:pPr>
            <w:hyperlink w:anchor="page63">
              <w:r>
                <w:rPr>
                  <w:rFonts w:ascii="Arial" w:cs="Arial" w:eastAsia="Arial" w:hAnsi="Arial"/>
                  <w:sz w:val="18"/>
                  <w:szCs w:val="18"/>
                  <w:u w:val="single" w:color="auto"/>
                  <w:color w:val="0000FF"/>
                  <w:w w:val="89"/>
                </w:rPr>
                <w:t>63</w:t>
              </w:r>
            </w:hyperlink>
          </w:p>
        </w:tc>
      </w:tr>
      <w:tr>
        <w:trPr>
          <w:trHeight w:val="229"/>
        </w:trPr>
        <w:tc>
          <w:tcPr>
            <w:tcW w:w="9000" w:type="dxa"/>
            <w:vAlign w:val="bottom"/>
            <w:shd w:val="clear" w:color="auto" w:fill="CCEEFF"/>
          </w:tcPr>
          <w:p>
            <w:pPr>
              <w:ind w:left="20"/>
              <w:spacing w:after="0"/>
              <w:rPr>
                <w:rFonts w:ascii="Arial" w:cs="Arial" w:eastAsia="Arial" w:hAnsi="Arial"/>
                <w:sz w:val="18"/>
                <w:szCs w:val="18"/>
                <w:u w:val="single" w:color="auto"/>
                <w:color w:val="0000FF"/>
              </w:rPr>
            </w:pPr>
            <w:hyperlink w:anchor="page64">
              <w:r>
                <w:rPr>
                  <w:rFonts w:ascii="Arial" w:cs="Arial" w:eastAsia="Arial" w:hAnsi="Arial"/>
                  <w:sz w:val="18"/>
                  <w:szCs w:val="18"/>
                  <w:u w:val="single" w:color="auto"/>
                  <w:color w:val="0000FF"/>
                </w:rPr>
                <w:t>Consolidated Statements of Operations</w:t>
              </w:r>
            </w:hyperlink>
          </w:p>
        </w:tc>
        <w:tc>
          <w:tcPr>
            <w:tcW w:w="224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64">
              <w:r>
                <w:rPr>
                  <w:rFonts w:ascii="Arial" w:cs="Arial" w:eastAsia="Arial" w:hAnsi="Arial"/>
                  <w:sz w:val="18"/>
                  <w:szCs w:val="18"/>
                  <w:u w:val="single" w:color="auto"/>
                  <w:color w:val="0000FF"/>
                  <w:w w:val="89"/>
                </w:rPr>
                <w:t>64</w:t>
              </w:r>
            </w:hyperlink>
          </w:p>
        </w:tc>
      </w:tr>
      <w:tr>
        <w:trPr>
          <w:trHeight w:val="230"/>
        </w:trPr>
        <w:tc>
          <w:tcPr>
            <w:tcW w:w="9000" w:type="dxa"/>
            <w:vAlign w:val="bottom"/>
          </w:tcPr>
          <w:p>
            <w:pPr>
              <w:ind w:left="20"/>
              <w:spacing w:after="0"/>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Consolidated Statements of Comprehensive Income</w:t>
              </w:r>
            </w:hyperlink>
          </w:p>
        </w:tc>
        <w:tc>
          <w:tcPr>
            <w:tcW w:w="2240" w:type="dxa"/>
            <w:vAlign w:val="bottom"/>
          </w:tcPr>
          <w:p>
            <w:pPr>
              <w:jc w:val="center"/>
              <w:spacing w:after="0"/>
              <w:rPr>
                <w:rFonts w:ascii="Arial" w:cs="Arial" w:eastAsia="Arial" w:hAnsi="Arial"/>
                <w:sz w:val="18"/>
                <w:szCs w:val="18"/>
                <w:u w:val="single" w:color="auto"/>
                <w:color w:val="0000FF"/>
                <w:w w:val="89"/>
              </w:rPr>
            </w:pPr>
            <w:hyperlink w:anchor="page65">
              <w:r>
                <w:rPr>
                  <w:rFonts w:ascii="Arial" w:cs="Arial" w:eastAsia="Arial" w:hAnsi="Arial"/>
                  <w:sz w:val="18"/>
                  <w:szCs w:val="18"/>
                  <w:u w:val="single" w:color="auto"/>
                  <w:color w:val="0000FF"/>
                  <w:w w:val="89"/>
                </w:rPr>
                <w:t>65</w:t>
              </w:r>
            </w:hyperlink>
          </w:p>
        </w:tc>
      </w:tr>
      <w:tr>
        <w:trPr>
          <w:trHeight w:val="229"/>
        </w:trPr>
        <w:tc>
          <w:tcPr>
            <w:tcW w:w="9000" w:type="dxa"/>
            <w:vAlign w:val="bottom"/>
            <w:shd w:val="clear" w:color="auto" w:fill="CCEEFF"/>
          </w:tcPr>
          <w:p>
            <w:pPr>
              <w:ind w:left="2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Consolidated Statements of Convertible Preferred Stock and Stockholders’ (Deficit) Equity</w:t>
              </w:r>
            </w:hyperlink>
          </w:p>
        </w:tc>
        <w:tc>
          <w:tcPr>
            <w:tcW w:w="224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66">
              <w:r>
                <w:rPr>
                  <w:rFonts w:ascii="Arial" w:cs="Arial" w:eastAsia="Arial" w:hAnsi="Arial"/>
                  <w:sz w:val="18"/>
                  <w:szCs w:val="18"/>
                  <w:u w:val="single" w:color="auto"/>
                  <w:color w:val="0000FF"/>
                  <w:w w:val="89"/>
                </w:rPr>
                <w:t>66</w:t>
              </w:r>
            </w:hyperlink>
          </w:p>
        </w:tc>
      </w:tr>
      <w:tr>
        <w:trPr>
          <w:trHeight w:val="229"/>
        </w:trPr>
        <w:tc>
          <w:tcPr>
            <w:tcW w:w="9000" w:type="dxa"/>
            <w:vAlign w:val="bottom"/>
          </w:tcPr>
          <w:p>
            <w:pPr>
              <w:ind w:left="2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Consolidated Statements of Cash Flows</w:t>
              </w:r>
            </w:hyperlink>
          </w:p>
        </w:tc>
        <w:tc>
          <w:tcPr>
            <w:tcW w:w="2240" w:type="dxa"/>
            <w:vAlign w:val="bottom"/>
          </w:tcPr>
          <w:p>
            <w:pPr>
              <w:jc w:val="center"/>
              <w:spacing w:after="0"/>
              <w:rPr>
                <w:rFonts w:ascii="Arial" w:cs="Arial" w:eastAsia="Arial" w:hAnsi="Arial"/>
                <w:sz w:val="18"/>
                <w:szCs w:val="18"/>
                <w:u w:val="single" w:color="auto"/>
                <w:color w:val="0000FF"/>
                <w:w w:val="89"/>
              </w:rPr>
            </w:pPr>
            <w:hyperlink w:anchor="page67">
              <w:r>
                <w:rPr>
                  <w:rFonts w:ascii="Arial" w:cs="Arial" w:eastAsia="Arial" w:hAnsi="Arial"/>
                  <w:sz w:val="18"/>
                  <w:szCs w:val="18"/>
                  <w:u w:val="single" w:color="auto"/>
                  <w:color w:val="0000FF"/>
                  <w:w w:val="89"/>
                </w:rPr>
                <w:t>67</w:t>
              </w:r>
            </w:hyperlink>
          </w:p>
        </w:tc>
      </w:tr>
      <w:tr>
        <w:trPr>
          <w:trHeight w:val="230"/>
        </w:trPr>
        <w:tc>
          <w:tcPr>
            <w:tcW w:w="9000" w:type="dxa"/>
            <w:vAlign w:val="bottom"/>
            <w:shd w:val="clear" w:color="auto" w:fill="CCEEFF"/>
          </w:tcPr>
          <w:p>
            <w:pPr>
              <w:ind w:left="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Notes to Consolidated Financial Statements</w:t>
              </w:r>
            </w:hyperlink>
          </w:p>
        </w:tc>
        <w:tc>
          <w:tcPr>
            <w:tcW w:w="224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69">
              <w:r>
                <w:rPr>
                  <w:rFonts w:ascii="Arial" w:cs="Arial" w:eastAsia="Arial" w:hAnsi="Arial"/>
                  <w:sz w:val="18"/>
                  <w:szCs w:val="18"/>
                  <w:u w:val="single" w:color="auto"/>
                  <w:color w:val="0000FF"/>
                  <w:w w:val="89"/>
                </w:rPr>
                <w:t>69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Consolidated Financial Statements and Internal Control Over Financial Reporting</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We have audited the accompanying consolidated balance sheets of Zoom Video Communications, Inc. and subsidiaries (the Company) as of January 31, 2021 and 2020, the related consolidated statements of operations, comprehensive income, convertible preferred stock and stockholders’ (deficit) equity, and cash flows for each of the years in the three-year period ended January 31, 2021, and the related notes and financial statement schedule</w:t>
      </w:r>
    </w:p>
    <w:p>
      <w:pPr>
        <w:jc w:val="both"/>
        <w:ind w:firstLine="8"/>
        <w:spacing w:after="0" w:line="239" w:lineRule="auto"/>
        <w:tabs>
          <w:tab w:leader="none" w:pos="247"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valuation and qualifying accounts (collectively, the consolidated financial statements). We also have audited the Company’s internal control over financial reporting as of January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January 31, 2021 and 2020, and the results of its operations and its cash flows for each of the years in the three-year period ended January 31, 2021, in conformity with U.S. generally accepted accounting principles. Also in our opinion, the Company maintained, in all material respects, effective internal control over financial reporting as of January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2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7"/>
          <w:szCs w:val="17"/>
          <w:color w:val="auto"/>
        </w:rPr>
        <w:t xml:space="preserve">As discussed in Note 1 to the consolidated financial statements, the Company has changed its method of accounting for leases as of February 1, 2019, due to the adoption of Financial Accounting Standards Board’s Accounting Standards Codification (ASC) Topic 842,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Sufficiency of Audit Evidence Over Revenue</w:t>
      </w:r>
    </w:p>
    <w:p>
      <w:pPr>
        <w:spacing w:after="0" w:line="252"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As discussed in Notes 1 and 2 to the consolidated financial statements, the Company’s revenue is principally derived from the sale of subscriptions to the Company’s video communications platform. The Company recorded $2,651 million of revenue for the year ended January 31, 2021.</w:t>
      </w:r>
    </w:p>
    <w:p>
      <w:pPr>
        <w:spacing w:after="0" w:line="211"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We identified the evaluation of sufficiency of audit evidence over revenue as a critical audit matter. This matter required especially subjective auditor judgment because the Company’s revenue recognition process is highly automated and is reliant upon a number of customized and proprietary information technology (IT) systems. Involvement of IT professionals with specialized skills and knowledge was required to assist with the performance of certain procedures and determination of IT applications subject to testing.</w:t>
      </w:r>
    </w:p>
    <w:p>
      <w:pPr>
        <w:spacing w:after="0" w:line="198"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7"/>
          <w:szCs w:val="17"/>
          <w:color w:val="auto"/>
        </w:rPr>
        <w:t>The following are the primary procedures we performed to address this critical audit matter. We applied auditor judgment to determine the nature and extent of procedures to be performed over revenue. We evaluated the design and tested the operating effectiveness of certain internal controls related to revenue recognition. This included certain controls related to the Company’s general information technology and application controls related to the systems utilized within the Company’s revenue recognition process. We involved IT professionals with specialized skills and knowledge, who assisted in testing the IT controls of the various systems interacting with the Company’s revenue recognition process. We recalculated revenue for system-generated sales transactions during the year using a software audit tool. For a sample of transactions, we compared the amounts recognized for consistency with underlying documentation, including contracts with customers and cash receipts, and recalculated the amount of revenue recognized in the period based on the terms of the arrangement and the satisfaction of the underlying performance obligation. In addition, we evaluated the sufficiency of audit evidence obtained over revenue by assessing the results of procedures performed.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18, 2021</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2,240,303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283,134</w:t>
            </w:r>
          </w:p>
        </w:tc>
        <w:tc>
          <w:tcPr>
            <w:tcW w:w="0" w:type="dxa"/>
            <w:vAlign w:val="bottom"/>
          </w:tcPr>
          <w:p>
            <w:pPr>
              <w:spacing w:after="0"/>
              <w:rPr>
                <w:sz w:val="1"/>
                <w:szCs w:val="1"/>
                <w:color w:val="auto"/>
              </w:rPr>
            </w:pPr>
          </w:p>
        </w:tc>
      </w:tr>
      <w:tr>
        <w:trPr>
          <w:trHeight w:val="213"/>
        </w:trPr>
        <w:tc>
          <w:tcPr>
            <w:tcW w:w="7800" w:type="dxa"/>
            <w:vAlign w:val="bottom"/>
          </w:tcPr>
          <w:p>
            <w:pPr>
              <w:ind w:left="220"/>
              <w:spacing w:after="0"/>
              <w:rPr>
                <w:sz w:val="20"/>
                <w:szCs w:val="20"/>
                <w:color w:val="auto"/>
              </w:rPr>
            </w:pPr>
            <w:r>
              <w:rPr>
                <w:rFonts w:ascii="Arial" w:cs="Arial" w:eastAsia="Arial" w:hAnsi="Arial"/>
                <w:sz w:val="16"/>
                <w:szCs w:val="16"/>
                <w:color w:val="auto"/>
              </w:rPr>
              <w:t>Marketable securities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2,004,410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572,060</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7"/>
              </w:rPr>
              <w:t>Accounts receivable, net of allowances of $36,844 and $7,634 as of January 31, 2021 and 2020, respectively</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120,435</w:t>
            </w:r>
          </w:p>
        </w:tc>
        <w:tc>
          <w:tcPr>
            <w:tcW w:w="0" w:type="dxa"/>
            <w:vAlign w:val="bottom"/>
          </w:tcPr>
          <w:p>
            <w:pPr>
              <w:spacing w:after="0"/>
              <w:rPr>
                <w:sz w:val="1"/>
                <w:szCs w:val="1"/>
                <w:color w:val="auto"/>
              </w:rPr>
            </w:pPr>
          </w:p>
        </w:tc>
      </w:tr>
      <w:tr>
        <w:trPr>
          <w:trHeight w:val="213"/>
        </w:trPr>
        <w:tc>
          <w:tcPr>
            <w:tcW w:w="7800" w:type="dxa"/>
            <w:vAlign w:val="bottom"/>
          </w:tcPr>
          <w:p>
            <w:pPr>
              <w:ind w:left="220"/>
              <w:spacing w:after="0"/>
              <w:rPr>
                <w:sz w:val="20"/>
                <w:szCs w:val="20"/>
                <w:color w:val="auto"/>
              </w:rPr>
            </w:pPr>
            <w:r>
              <w:rPr>
                <w:rFonts w:ascii="Arial" w:cs="Arial" w:eastAsia="Arial" w:hAnsi="Arial"/>
                <w:sz w:val="16"/>
                <w:szCs w:val="16"/>
                <w:color w:val="auto"/>
              </w:rPr>
              <w:t>Deferred contract acquisition costs, current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136,630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44,885</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116,819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75,008</w:t>
            </w:r>
          </w:p>
        </w:tc>
        <w:tc>
          <w:tcPr>
            <w:tcW w:w="0" w:type="dxa"/>
            <w:vAlign w:val="bottom"/>
          </w:tcPr>
          <w:p>
            <w:pPr>
              <w:spacing w:after="0"/>
              <w:rPr>
                <w:sz w:val="1"/>
                <w:szCs w:val="1"/>
                <w:color w:val="auto"/>
              </w:rPr>
            </w:pPr>
          </w:p>
        </w:tc>
      </w:tr>
      <w:tr>
        <w:trPr>
          <w:trHeight w:val="207"/>
        </w:trPr>
        <w:tc>
          <w:tcPr>
            <w:tcW w:w="7800" w:type="dxa"/>
            <w:vAlign w:val="bottom"/>
          </w:tcPr>
          <w:p>
            <w:pPr>
              <w:ind w:left="480"/>
              <w:spacing w:after="0"/>
              <w:rPr>
                <w:sz w:val="20"/>
                <w:szCs w:val="20"/>
                <w:color w:val="auto"/>
              </w:rPr>
            </w:pPr>
            <w:r>
              <w:rPr>
                <w:rFonts w:ascii="Arial" w:cs="Arial" w:eastAsia="Arial" w:hAnsi="Arial"/>
                <w:sz w:val="16"/>
                <w:szCs w:val="16"/>
                <w:color w:val="auto"/>
              </w:rPr>
              <w:t>Total current assets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4,792,865</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1,095,522</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contract acquisition costs, noncurrent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46,245</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149,924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57,138</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68,608</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24,340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 noncurrent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75,953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22,332</w:t>
            </w:r>
          </w:p>
        </w:tc>
        <w:tc>
          <w:tcPr>
            <w:tcW w:w="0" w:type="dxa"/>
            <w:vAlign w:val="bottom"/>
          </w:tcPr>
          <w:p>
            <w:pPr>
              <w:spacing w:after="0"/>
              <w:rPr>
                <w:sz w:val="1"/>
                <w:szCs w:val="1"/>
                <w:color w:val="auto"/>
              </w:rPr>
            </w:pP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5,297,993</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1,289,845</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1,596</w:t>
            </w:r>
          </w:p>
        </w:tc>
        <w:tc>
          <w:tcPr>
            <w:tcW w:w="0" w:type="dxa"/>
            <w:vAlign w:val="bottom"/>
          </w:tcPr>
          <w:p>
            <w:pPr>
              <w:spacing w:after="0"/>
              <w:rPr>
                <w:sz w:val="1"/>
                <w:szCs w:val="1"/>
                <w:color w:val="auto"/>
              </w:rPr>
            </w:pPr>
          </w:p>
        </w:tc>
      </w:tr>
      <w:tr>
        <w:trPr>
          <w:trHeight w:val="213"/>
        </w:trPr>
        <w:tc>
          <w:tcPr>
            <w:tcW w:w="7800" w:type="dxa"/>
            <w:vAlign w:val="bottom"/>
          </w:tcPr>
          <w:p>
            <w:pPr>
              <w:ind w:left="220"/>
              <w:spacing w:after="0"/>
              <w:rPr>
                <w:sz w:val="20"/>
                <w:szCs w:val="20"/>
                <w:color w:val="auto"/>
              </w:rPr>
            </w:pPr>
            <w:r>
              <w:rPr>
                <w:rFonts w:ascii="Arial" w:cs="Arial" w:eastAsia="Arial" w:hAnsi="Arial"/>
                <w:sz w:val="16"/>
                <w:szCs w:val="16"/>
                <w:color w:val="auto"/>
              </w:rPr>
              <w:t>Accrued expenses and other current liabilities</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393,018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122,692</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 current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858,284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209,542</w:t>
            </w:r>
          </w:p>
        </w:tc>
        <w:tc>
          <w:tcPr>
            <w:tcW w:w="0" w:type="dxa"/>
            <w:vAlign w:val="bottom"/>
          </w:tcPr>
          <w:p>
            <w:pPr>
              <w:spacing w:after="0"/>
              <w:rPr>
                <w:sz w:val="1"/>
                <w:szCs w:val="1"/>
                <w:color w:val="auto"/>
              </w:rPr>
            </w:pPr>
          </w:p>
        </w:tc>
      </w:tr>
      <w:tr>
        <w:trPr>
          <w:trHeight w:val="206"/>
        </w:trPr>
        <w:tc>
          <w:tcPr>
            <w:tcW w:w="780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1,259,966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333,830</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20,994</w:t>
            </w: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90,415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64,792</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61,634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36,286</w:t>
            </w:r>
          </w:p>
        </w:tc>
        <w:tc>
          <w:tcPr>
            <w:tcW w:w="0" w:type="dxa"/>
            <w:vAlign w:val="bottom"/>
          </w:tcPr>
          <w:p>
            <w:pPr>
              <w:spacing w:after="0"/>
              <w:rPr>
                <w:sz w:val="1"/>
                <w:szCs w:val="1"/>
                <w:color w:val="auto"/>
              </w:rPr>
            </w:pP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1,437,226</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455,902</w:t>
            </w:r>
          </w:p>
        </w:tc>
        <w:tc>
          <w:tcPr>
            <w:tcW w:w="0" w:type="dxa"/>
            <w:vAlign w:val="bottom"/>
          </w:tcPr>
          <w:p>
            <w:pPr>
              <w:spacing w:after="0"/>
              <w:rPr>
                <w:sz w:val="1"/>
                <w:szCs w:val="1"/>
                <w:color w:val="auto"/>
              </w:rPr>
            </w:pP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8)</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80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2"/>
              </w:rPr>
              <w:t>Preferred stock, $0.001 par value per share, 200,000,000 shares authorized as of January 31, 2021 and 2020; zero</w:t>
            </w:r>
          </w:p>
        </w:tc>
        <w:tc>
          <w:tcPr>
            <w:tcW w:w="3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shares issued and outstanding as of January 31, 2021 and 2020</w:t>
            </w:r>
          </w:p>
        </w:tc>
        <w:tc>
          <w:tcPr>
            <w:tcW w:w="3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800" w:type="dxa"/>
            <w:vAlign w:val="bottom"/>
          </w:tcPr>
          <w:p>
            <w:pPr>
              <w:ind w:left="240"/>
              <w:spacing w:after="0" w:line="166" w:lineRule="exact"/>
              <w:rPr>
                <w:sz w:val="20"/>
                <w:szCs w:val="20"/>
                <w:color w:val="auto"/>
              </w:rPr>
            </w:pPr>
            <w:r>
              <w:rPr>
                <w:rFonts w:ascii="Arial" w:cs="Arial" w:eastAsia="Arial" w:hAnsi="Arial"/>
                <w:sz w:val="16"/>
                <w:szCs w:val="16"/>
                <w:color w:val="auto"/>
                <w:w w:val="93"/>
              </w:rPr>
              <w:t>Common stock, $0.001 par value per share, 2,000,000,000 Class A shares authorized as of January 31, 2021 and</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240"/>
              <w:spacing w:after="0" w:line="162" w:lineRule="exact"/>
              <w:rPr>
                <w:sz w:val="20"/>
                <w:szCs w:val="20"/>
                <w:color w:val="auto"/>
              </w:rPr>
            </w:pPr>
            <w:r>
              <w:rPr>
                <w:rFonts w:ascii="Arial" w:cs="Arial" w:eastAsia="Arial" w:hAnsi="Arial"/>
                <w:sz w:val="16"/>
                <w:szCs w:val="16"/>
                <w:color w:val="auto"/>
                <w:w w:val="92"/>
              </w:rPr>
              <w:t>2020; 215,737,924 and 123,391,114 shares issued and outstanding as of January 31, 2021 and 2020, respectively;</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240"/>
              <w:spacing w:after="0" w:line="162" w:lineRule="exact"/>
              <w:rPr>
                <w:sz w:val="20"/>
                <w:szCs w:val="20"/>
                <w:color w:val="auto"/>
              </w:rPr>
            </w:pPr>
            <w:r>
              <w:rPr>
                <w:rFonts w:ascii="Arial" w:cs="Arial" w:eastAsia="Arial" w:hAnsi="Arial"/>
                <w:sz w:val="16"/>
                <w:szCs w:val="16"/>
                <w:color w:val="auto"/>
                <w:w w:val="90"/>
              </w:rPr>
              <w:t>300,000,000 Class B shares authorized as of January 31, 2021 and 2020; 77,811,299 and 155,336,747 shares issued</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9"/>
        </w:trPr>
        <w:tc>
          <w:tcPr>
            <w:tcW w:w="7800" w:type="dxa"/>
            <w:vAlign w:val="bottom"/>
          </w:tcPr>
          <w:p>
            <w:pPr>
              <w:ind w:left="240"/>
              <w:spacing w:after="0"/>
              <w:rPr>
                <w:sz w:val="20"/>
                <w:szCs w:val="20"/>
                <w:color w:val="auto"/>
              </w:rPr>
            </w:pPr>
            <w:r>
              <w:rPr>
                <w:rFonts w:ascii="Arial" w:cs="Arial" w:eastAsia="Arial" w:hAnsi="Arial"/>
                <w:sz w:val="16"/>
                <w:szCs w:val="16"/>
                <w:color w:val="auto"/>
              </w:rPr>
              <w:t>and outstanding as of January 31, 2021 and 2020, respectively</w:t>
            </w: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3,187,168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832,705</w:t>
            </w:r>
          </w:p>
        </w:tc>
        <w:tc>
          <w:tcPr>
            <w:tcW w:w="0" w:type="dxa"/>
            <w:vAlign w:val="bottom"/>
          </w:tcPr>
          <w:p>
            <w:pPr>
              <w:spacing w:after="0"/>
              <w:rPr>
                <w:sz w:val="1"/>
                <w:szCs w:val="1"/>
                <w:color w:val="auto"/>
              </w:rPr>
            </w:pPr>
          </w:p>
        </w:tc>
      </w:tr>
      <w:tr>
        <w:trPr>
          <w:trHeight w:val="213"/>
        </w:trPr>
        <w:tc>
          <w:tcPr>
            <w:tcW w:w="7800" w:type="dxa"/>
            <w:vAlign w:val="bottom"/>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Retained earnings</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672,468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3,860,767</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833,943</w:t>
            </w:r>
          </w:p>
        </w:tc>
        <w:tc>
          <w:tcPr>
            <w:tcW w:w="0" w:type="dxa"/>
            <w:vAlign w:val="bottom"/>
          </w:tcPr>
          <w:p>
            <w:pPr>
              <w:spacing w:after="0"/>
              <w:rPr>
                <w:sz w:val="1"/>
                <w:szCs w:val="1"/>
                <w:color w:val="auto"/>
              </w:rPr>
            </w:pPr>
          </w:p>
        </w:tc>
      </w:tr>
      <w:tr>
        <w:trPr>
          <w:trHeight w:val="23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5,297,993</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1,289,845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7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2,651,368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330,517</w:t>
            </w: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821,989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115,396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61,001</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1,829,379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507,262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269,516</w:t>
            </w:r>
          </w:p>
        </w:tc>
        <w:tc>
          <w:tcPr>
            <w:tcW w:w="0" w:type="dxa"/>
            <w:vAlign w:val="bottom"/>
          </w:tcPr>
          <w:p>
            <w:pPr>
              <w:spacing w:after="0"/>
              <w:rPr>
                <w:sz w:val="1"/>
                <w:szCs w:val="1"/>
                <w:color w:val="auto"/>
              </w:rPr>
            </w:pPr>
          </w:p>
        </w:tc>
      </w:tr>
      <w:tr>
        <w:trPr>
          <w:trHeight w:val="210"/>
        </w:trPr>
        <w:tc>
          <w:tcPr>
            <w:tcW w:w="57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33,014</w:t>
            </w:r>
          </w:p>
        </w:tc>
        <w:tc>
          <w:tcPr>
            <w:tcW w:w="0" w:type="dxa"/>
            <w:vAlign w:val="bottom"/>
          </w:tcPr>
          <w:p>
            <w:pPr>
              <w:spacing w:after="0"/>
              <w:rPr>
                <w:sz w:val="1"/>
                <w:szCs w:val="1"/>
                <w:color w:val="auto"/>
              </w:rPr>
            </w:pPr>
          </w:p>
        </w:tc>
      </w:tr>
      <w:tr>
        <w:trPr>
          <w:trHeight w:val="229"/>
        </w:trPr>
        <w:tc>
          <w:tcPr>
            <w:tcW w:w="57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684,904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340,646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185,821</w:t>
            </w: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320,547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86,841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44,514</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1,169,531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494,566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263,349</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and other, net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29"/>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Undistributed earnings attributable to participating securities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4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 attributable to common stockholders: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240"/>
              <w:spacing w:after="0"/>
              <w:rPr>
                <w:sz w:val="20"/>
                <w:szCs w:val="20"/>
                <w:color w:val="auto"/>
              </w:rPr>
            </w:pPr>
            <w:r>
              <w:rPr>
                <w:rFonts w:ascii="Arial" w:cs="Arial" w:eastAsia="Arial" w:hAnsi="Arial"/>
                <w:sz w:val="18"/>
                <w:szCs w:val="18"/>
                <w:color w:val="auto"/>
              </w:rPr>
              <w:t>Diluted</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2.25</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0.09</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Weighted-average shares used in computing net income per share attributable</w:t>
            </w: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common stockholders: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tcPr>
          <w:p>
            <w:pPr>
              <w:ind w:left="24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283,853,654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233,641,336</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84,483,094</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7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298,127,669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254,298,014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116,005,681</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87"/>
        </w:trPr>
        <w:tc>
          <w:tcPr>
            <w:tcW w:w="57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2019</w:t>
            </w:r>
          </w:p>
        </w:tc>
      </w:tr>
      <w:tr>
        <w:trPr>
          <w:trHeight w:val="22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on available-for-sale marketable securities, net of tax</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672,346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26,249</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7,980</w:t>
            </w:r>
          </w:p>
        </w:tc>
      </w:tr>
      <w:tr>
        <w:trPr>
          <w:trHeight w:val="20"/>
        </w:trPr>
        <w:tc>
          <w:tcPr>
            <w:tcW w:w="5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50920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509206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10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88"/>
        </w:trPr>
        <w:tc>
          <w:tcPr>
            <w:tcW w:w="2260" w:type="dxa"/>
            <w:vAlign w:val="bottom"/>
          </w:tcPr>
          <w:p>
            <w:pPr>
              <w:spacing w:after="0"/>
              <w:rPr>
                <w:sz w:val="16"/>
                <w:szCs w:val="16"/>
                <w:color w:val="auto"/>
              </w:rPr>
            </w:pPr>
          </w:p>
        </w:tc>
        <w:tc>
          <w:tcPr>
            <w:tcW w:w="210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91"/>
        </w:trPr>
        <w:tc>
          <w:tcPr>
            <w:tcW w:w="2260" w:type="dxa"/>
            <w:vAlign w:val="bottom"/>
          </w:tcPr>
          <w:p>
            <w:pPr>
              <w:spacing w:after="0"/>
              <w:rPr>
                <w:sz w:val="16"/>
                <w:szCs w:val="16"/>
                <w:color w:val="auto"/>
              </w:rPr>
            </w:pPr>
          </w:p>
        </w:tc>
        <w:tc>
          <w:tcPr>
            <w:tcW w:w="120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b w:val="1"/>
                <w:bCs w:val="1"/>
                <w:color w:val="auto"/>
              </w:rPr>
              <w:t>Balance as of January 31, 2018</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152,665,804</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159,552</w:t>
            </w:r>
          </w:p>
        </w:tc>
        <w:tc>
          <w:tcPr>
            <w:tcW w:w="0" w:type="dxa"/>
            <w:vAlign w:val="bottom"/>
          </w:tcPr>
          <w:p>
            <w:pPr>
              <w:spacing w:after="0"/>
              <w:rPr>
                <w:sz w:val="1"/>
                <w:szCs w:val="1"/>
                <w:color w:val="auto"/>
              </w:rPr>
            </w:pPr>
          </w:p>
        </w:tc>
      </w:tr>
      <w:tr>
        <w:trPr>
          <w:trHeight w:val="142"/>
        </w:trPr>
        <w:tc>
          <w:tcPr>
            <w:tcW w:w="2260" w:type="dxa"/>
            <w:vAlign w:val="bottom"/>
          </w:tcPr>
          <w:p>
            <w:pPr>
              <w:spacing w:after="0" w:line="142" w:lineRule="exact"/>
              <w:rPr>
                <w:sz w:val="20"/>
                <w:szCs w:val="20"/>
                <w:color w:val="auto"/>
              </w:rPr>
            </w:pPr>
            <w:r>
              <w:rPr>
                <w:rFonts w:ascii="Arial" w:cs="Arial" w:eastAsia="Arial" w:hAnsi="Arial"/>
                <w:sz w:val="14"/>
                <w:szCs w:val="14"/>
                <w:color w:val="auto"/>
              </w:rPr>
              <w:t>Issuance of common stock upon</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60" w:type="dxa"/>
            <w:vAlign w:val="bottom"/>
          </w:tcPr>
          <w:p>
            <w:pPr>
              <w:spacing w:after="0"/>
              <w:rPr>
                <w:sz w:val="20"/>
                <w:szCs w:val="20"/>
                <w:color w:val="auto"/>
              </w:rPr>
            </w:pPr>
            <w:r>
              <w:rPr>
                <w:rFonts w:ascii="Arial" w:cs="Arial" w:eastAsia="Arial" w:hAnsi="Arial"/>
                <w:sz w:val="14"/>
                <w:szCs w:val="14"/>
                <w:color w:val="auto"/>
                <w:w w:val="99"/>
              </w:rPr>
              <w:t>Stock-based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260" w:type="dxa"/>
            <w:vAlign w:val="bottom"/>
          </w:tcPr>
          <w:p>
            <w:pPr>
              <w:spacing w:after="0"/>
              <w:rPr>
                <w:sz w:val="20"/>
                <w:szCs w:val="20"/>
                <w:color w:val="auto"/>
              </w:rPr>
            </w:pPr>
            <w:r>
              <w:rPr>
                <w:rFonts w:ascii="Arial" w:cs="Arial" w:eastAsia="Arial" w:hAnsi="Arial"/>
                <w:sz w:val="14"/>
                <w:szCs w:val="14"/>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b w:val="1"/>
                <w:bCs w:val="1"/>
                <w:color w:val="auto"/>
              </w:rPr>
              <w:t>Balance as of January 31, 2019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152,665,804</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159,552</w:t>
            </w:r>
          </w:p>
        </w:tc>
        <w:tc>
          <w:tcPr>
            <w:tcW w:w="0" w:type="dxa"/>
            <w:vAlign w:val="bottom"/>
          </w:tcPr>
          <w:p>
            <w:pPr>
              <w:spacing w:after="0"/>
              <w:rPr>
                <w:sz w:val="1"/>
                <w:szCs w:val="1"/>
                <w:color w:val="auto"/>
              </w:rPr>
            </w:pPr>
          </w:p>
        </w:tc>
      </w:tr>
      <w:tr>
        <w:trPr>
          <w:trHeight w:val="142"/>
        </w:trPr>
        <w:tc>
          <w:tcPr>
            <w:tcW w:w="2260" w:type="dxa"/>
            <w:vAlign w:val="bottom"/>
          </w:tcPr>
          <w:p>
            <w:pPr>
              <w:spacing w:after="0" w:line="142" w:lineRule="exact"/>
              <w:rPr>
                <w:sz w:val="20"/>
                <w:szCs w:val="20"/>
                <w:color w:val="auto"/>
              </w:rPr>
            </w:pPr>
            <w:r>
              <w:rPr>
                <w:rFonts w:ascii="Arial" w:cs="Arial" w:eastAsia="Arial" w:hAnsi="Arial"/>
                <w:sz w:val="14"/>
                <w:szCs w:val="14"/>
                <w:color w:val="auto"/>
              </w:rPr>
              <w:t>Conversion of convertible preferred</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Arial" w:cs="Arial" w:eastAsia="Arial" w:hAnsi="Arial"/>
                <w:sz w:val="14"/>
                <w:szCs w:val="14"/>
                <w:color w:val="auto"/>
              </w:rPr>
              <w:t>stock to common stock upon initial</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(152,665,804)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(159,552)</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public offering</w:t>
            </w:r>
          </w:p>
        </w:tc>
        <w:tc>
          <w:tcPr>
            <w:tcW w:w="10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line="142" w:lineRule="exact"/>
              <w:rPr>
                <w:sz w:val="20"/>
                <w:szCs w:val="20"/>
                <w:color w:val="auto"/>
              </w:rPr>
            </w:pPr>
            <w:r>
              <w:rPr>
                <w:rFonts w:ascii="Arial" w:cs="Arial" w:eastAsia="Arial" w:hAnsi="Arial"/>
                <w:sz w:val="14"/>
                <w:szCs w:val="14"/>
                <w:color w:val="auto"/>
                <w:w w:val="97"/>
              </w:rPr>
              <w:t>Conversion of convertible promissory</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Arial" w:cs="Arial" w:eastAsia="Arial" w:hAnsi="Arial"/>
                <w:sz w:val="14"/>
                <w:szCs w:val="14"/>
                <w:color w:val="auto"/>
                <w:w w:val="94"/>
              </w:rPr>
              <w:t>notes and accrued interest to common</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stock upon initial public offering</w:t>
            </w: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line="142" w:lineRule="exact"/>
              <w:rPr>
                <w:sz w:val="20"/>
                <w:szCs w:val="20"/>
                <w:color w:val="auto"/>
              </w:rPr>
            </w:pPr>
            <w:r>
              <w:rPr>
                <w:rFonts w:ascii="Arial" w:cs="Arial" w:eastAsia="Arial" w:hAnsi="Arial"/>
                <w:sz w:val="14"/>
                <w:szCs w:val="14"/>
                <w:color w:val="auto"/>
                <w:w w:val="94"/>
              </w:rPr>
              <w:t>Issuance of common stock upon initial</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Arial" w:cs="Arial" w:eastAsia="Arial" w:hAnsi="Arial"/>
                <w:sz w:val="14"/>
                <w:szCs w:val="14"/>
                <w:color w:val="auto"/>
                <w:w w:val="96"/>
              </w:rPr>
              <w:t>public offering and private placement,</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Arial" w:cs="Arial" w:eastAsia="Arial" w:hAnsi="Arial"/>
                <w:sz w:val="14"/>
                <w:szCs w:val="14"/>
                <w:color w:val="auto"/>
              </w:rPr>
              <w:t>net of underwriting discounts and</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w w:val="96"/>
              </w:rPr>
              <w:t>commissions and other offering costs</w:t>
            </w: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line="142" w:lineRule="exact"/>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Arial" w:cs="Arial" w:eastAsia="Arial" w:hAnsi="Arial"/>
                <w:sz w:val="14"/>
                <w:szCs w:val="14"/>
                <w:color w:val="auto"/>
              </w:rPr>
              <w:t>exercise of stock options, net of</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Arial" w:cs="Arial" w:eastAsia="Arial" w:hAnsi="Arial"/>
                <w:sz w:val="14"/>
                <w:szCs w:val="14"/>
                <w:color w:val="auto"/>
                <w:w w:val="96"/>
              </w:rPr>
              <w:t>repurchases and release of restricted</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stock units</w:t>
            </w: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line="142" w:lineRule="exact"/>
              <w:rPr>
                <w:sz w:val="20"/>
                <w:szCs w:val="20"/>
                <w:color w:val="auto"/>
              </w:rPr>
            </w:pPr>
            <w:r>
              <w:rPr>
                <w:rFonts w:ascii="Arial" w:cs="Arial" w:eastAsia="Arial" w:hAnsi="Arial"/>
                <w:sz w:val="14"/>
                <w:szCs w:val="14"/>
                <w:color w:val="auto"/>
                <w:w w:val="99"/>
              </w:rPr>
              <w:t>Issuance of common stock reserved</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for charitable donations</w:t>
            </w: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line="142" w:lineRule="exact"/>
              <w:rPr>
                <w:sz w:val="20"/>
                <w:szCs w:val="20"/>
                <w:color w:val="auto"/>
              </w:rPr>
            </w:pPr>
            <w:r>
              <w:rPr>
                <w:rFonts w:ascii="Arial" w:cs="Arial" w:eastAsia="Arial" w:hAnsi="Arial"/>
                <w:sz w:val="14"/>
                <w:szCs w:val="14"/>
                <w:color w:val="auto"/>
              </w:rPr>
              <w:t>Issuance of common stock for</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60" w:type="dxa"/>
            <w:vAlign w:val="bottom"/>
          </w:tcPr>
          <w:p>
            <w:pPr>
              <w:spacing w:after="0"/>
              <w:rPr>
                <w:sz w:val="20"/>
                <w:szCs w:val="20"/>
                <w:color w:val="auto"/>
              </w:rPr>
            </w:pPr>
            <w:r>
              <w:rPr>
                <w:rFonts w:ascii="Arial" w:cs="Arial" w:eastAsia="Arial" w:hAnsi="Arial"/>
                <w:sz w:val="14"/>
                <w:szCs w:val="14"/>
                <w:color w:val="auto"/>
                <w:w w:val="99"/>
              </w:rPr>
              <w:t>Stock-based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6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260" w:type="dxa"/>
            <w:vAlign w:val="bottom"/>
          </w:tcPr>
          <w:p>
            <w:pPr>
              <w:spacing w:after="0"/>
              <w:rPr>
                <w:sz w:val="20"/>
                <w:szCs w:val="20"/>
                <w:color w:val="auto"/>
              </w:rPr>
            </w:pPr>
            <w:r>
              <w:rPr>
                <w:rFonts w:ascii="Arial" w:cs="Arial" w:eastAsia="Arial" w:hAnsi="Arial"/>
                <w:sz w:val="14"/>
                <w:szCs w:val="14"/>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b w:val="1"/>
                <w:bCs w:val="1"/>
                <w:color w:val="auto"/>
              </w:rPr>
              <w:t>Balance as of January 31, 2020</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260" w:type="dxa"/>
            <w:vAlign w:val="bottom"/>
          </w:tcPr>
          <w:p>
            <w:pPr>
              <w:spacing w:after="0" w:line="142" w:lineRule="exact"/>
              <w:rPr>
                <w:sz w:val="20"/>
                <w:szCs w:val="20"/>
                <w:color w:val="auto"/>
              </w:rPr>
            </w:pPr>
            <w:r>
              <w:rPr>
                <w:rFonts w:ascii="Arial" w:cs="Arial" w:eastAsia="Arial" w:hAnsi="Arial"/>
                <w:sz w:val="14"/>
                <w:szCs w:val="14"/>
                <w:color w:val="auto"/>
              </w:rPr>
              <w:t>Issuance of common stock upon</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Arial" w:cs="Arial" w:eastAsia="Arial" w:hAnsi="Arial"/>
                <w:sz w:val="14"/>
                <w:szCs w:val="14"/>
                <w:color w:val="auto"/>
              </w:rPr>
              <w:t>follow-on public offering, net of</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line="135" w:lineRule="exact"/>
              <w:rPr>
                <w:sz w:val="20"/>
                <w:szCs w:val="20"/>
                <w:color w:val="auto"/>
              </w:rPr>
            </w:pPr>
            <w:r>
              <w:rPr>
                <w:rFonts w:ascii="Arial" w:cs="Arial" w:eastAsia="Arial" w:hAnsi="Arial"/>
                <w:sz w:val="14"/>
                <w:szCs w:val="14"/>
                <w:color w:val="auto"/>
              </w:rPr>
              <w:t>underwriting discounts and</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w w:val="96"/>
              </w:rPr>
              <w:t>commissions and other offering costs</w:t>
            </w: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line="142" w:lineRule="exact"/>
              <w:rPr>
                <w:sz w:val="20"/>
                <w:szCs w:val="20"/>
                <w:color w:val="auto"/>
              </w:rPr>
            </w:pPr>
            <w:r>
              <w:rPr>
                <w:rFonts w:ascii="Arial" w:cs="Arial" w:eastAsia="Arial" w:hAnsi="Arial"/>
                <w:sz w:val="14"/>
                <w:szCs w:val="14"/>
                <w:color w:val="auto"/>
              </w:rPr>
              <w:t>Issuance of common stock upon</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60" w:type="dxa"/>
            <w:vAlign w:val="bottom"/>
          </w:tcPr>
          <w:p>
            <w:pPr>
              <w:spacing w:after="0" w:line="142" w:lineRule="exact"/>
              <w:rPr>
                <w:sz w:val="20"/>
                <w:szCs w:val="20"/>
                <w:color w:val="auto"/>
              </w:rPr>
            </w:pPr>
            <w:r>
              <w:rPr>
                <w:rFonts w:ascii="Arial" w:cs="Arial" w:eastAsia="Arial" w:hAnsi="Arial"/>
                <w:sz w:val="14"/>
                <w:szCs w:val="14"/>
                <w:color w:val="auto"/>
              </w:rPr>
              <w:t>Issuance of common stock upon</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release of restricted stock units</w:t>
            </w: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60" w:type="dxa"/>
            <w:vAlign w:val="bottom"/>
          </w:tcPr>
          <w:p>
            <w:pPr>
              <w:spacing w:after="0"/>
              <w:rPr>
                <w:sz w:val="20"/>
                <w:szCs w:val="20"/>
                <w:color w:val="auto"/>
              </w:rPr>
            </w:pPr>
            <w:r>
              <w:rPr>
                <w:rFonts w:ascii="Arial" w:cs="Arial" w:eastAsia="Arial" w:hAnsi="Arial"/>
                <w:sz w:val="14"/>
                <w:szCs w:val="14"/>
                <w:color w:val="auto"/>
                <w:w w:val="96"/>
              </w:rPr>
              <w:t>Charitable donation of common stock</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260" w:type="dxa"/>
            <w:vAlign w:val="bottom"/>
          </w:tcPr>
          <w:p>
            <w:pPr>
              <w:spacing w:after="0" w:line="147" w:lineRule="exact"/>
              <w:rPr>
                <w:sz w:val="20"/>
                <w:szCs w:val="20"/>
                <w:color w:val="auto"/>
              </w:rPr>
            </w:pPr>
            <w:r>
              <w:rPr>
                <w:rFonts w:ascii="Arial" w:cs="Arial" w:eastAsia="Arial" w:hAnsi="Arial"/>
                <w:sz w:val="14"/>
                <w:szCs w:val="14"/>
                <w:color w:val="auto"/>
              </w:rPr>
              <w:t>Issuance of common stock for</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60" w:type="dxa"/>
            <w:vAlign w:val="bottom"/>
          </w:tcPr>
          <w:p>
            <w:pPr>
              <w:ind w:left="20"/>
              <w:spacing w:after="0"/>
              <w:rPr>
                <w:sz w:val="20"/>
                <w:szCs w:val="20"/>
                <w:color w:val="auto"/>
              </w:rPr>
            </w:pPr>
            <w:r>
              <w:rPr>
                <w:rFonts w:ascii="Arial" w:cs="Arial" w:eastAsia="Arial" w:hAnsi="Arial"/>
                <w:sz w:val="14"/>
                <w:szCs w:val="14"/>
                <w:color w:val="auto"/>
                <w:w w:val="98"/>
              </w:rPr>
              <w:t>Stock-based compensation expense</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2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260" w:type="dxa"/>
            <w:vAlign w:val="bottom"/>
          </w:tcPr>
          <w:p>
            <w:pPr>
              <w:spacing w:after="0"/>
              <w:rPr>
                <w:sz w:val="20"/>
                <w:szCs w:val="20"/>
                <w:color w:val="auto"/>
              </w:rPr>
            </w:pPr>
            <w:r>
              <w:rPr>
                <w:rFonts w:ascii="Arial" w:cs="Arial" w:eastAsia="Arial" w:hAnsi="Arial"/>
                <w:sz w:val="14"/>
                <w:szCs w:val="14"/>
                <w:b w:val="1"/>
                <w:bCs w:val="1"/>
                <w:color w:val="auto"/>
              </w:rPr>
              <w:t>Balance as of January 31, 2021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(Accumulated</w:t>
            </w:r>
          </w:p>
        </w:tc>
        <w:tc>
          <w:tcPr>
            <w:tcW w:w="100" w:type="dxa"/>
            <w:vAlign w:val="bottom"/>
          </w:tcPr>
          <w:p>
            <w:pPr>
              <w:spacing w:after="0"/>
              <w:rPr>
                <w:sz w:val="14"/>
                <w:szCs w:val="14"/>
                <w:color w:val="auto"/>
              </w:rPr>
            </w:pPr>
          </w:p>
        </w:tc>
        <w:tc>
          <w:tcPr>
            <w:tcW w:w="1080" w:type="dxa"/>
            <w:vAlign w:val="bottom"/>
            <w:vMerge w:val="restart"/>
          </w:tcPr>
          <w:p>
            <w:pPr>
              <w:jc w:val="center"/>
              <w:ind w:right="4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1840" w:type="dxa"/>
            <w:vAlign w:val="bottom"/>
            <w:gridSpan w:val="4"/>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84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8"/>
                <w:szCs w:val="8"/>
                <w:color w:val="auto"/>
              </w:rPr>
            </w:pPr>
          </w:p>
        </w:tc>
        <w:tc>
          <w:tcPr>
            <w:tcW w:w="120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Comprehensive</w:t>
            </w:r>
          </w:p>
        </w:tc>
        <w:tc>
          <w:tcPr>
            <w:tcW w:w="120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Deficit) Retained</w:t>
            </w:r>
          </w:p>
        </w:tc>
        <w:tc>
          <w:tcPr>
            <w:tcW w:w="100" w:type="dxa"/>
            <w:vAlign w:val="bottom"/>
          </w:tcPr>
          <w:p>
            <w:pPr>
              <w:spacing w:after="0"/>
              <w:rPr>
                <w:sz w:val="8"/>
                <w:szCs w:val="8"/>
                <w:color w:val="auto"/>
              </w:rPr>
            </w:pPr>
          </w:p>
        </w:tc>
        <w:tc>
          <w:tcPr>
            <w:tcW w:w="1080" w:type="dxa"/>
            <w:vAlign w:val="bottom"/>
          </w:tcPr>
          <w:p>
            <w:pPr>
              <w:jc w:val="center"/>
              <w:ind w:right="49"/>
              <w:spacing w:after="0" w:line="102"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01"/>
        </w:trPr>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(Loss) Income</w:t>
            </w:r>
          </w:p>
        </w:tc>
        <w:tc>
          <w:tcPr>
            <w:tcW w:w="10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7"/>
                <w:szCs w:val="17"/>
                <w:color w:val="auto"/>
              </w:rPr>
            </w:pPr>
          </w:p>
        </w:tc>
        <w:tc>
          <w:tcPr>
            <w:tcW w:w="1080" w:type="dxa"/>
            <w:vAlign w:val="bottom"/>
          </w:tcPr>
          <w:p>
            <w:pPr>
              <w:jc w:val="center"/>
              <w:ind w:right="49"/>
              <w:spacing w:after="0"/>
              <w:rPr>
                <w:sz w:val="20"/>
                <w:szCs w:val="20"/>
                <w:color w:val="auto"/>
              </w:rPr>
            </w:pPr>
            <w:r>
              <w:rPr>
                <w:rFonts w:ascii="Arial" w:cs="Arial" w:eastAsia="Arial" w:hAnsi="Arial"/>
                <w:sz w:val="14"/>
                <w:szCs w:val="14"/>
                <w:b w:val="1"/>
                <w:bCs w:val="1"/>
                <w:color w:val="auto"/>
                <w:w w:val="97"/>
              </w:rPr>
              <w:t>(Deficit) Equity</w:t>
            </w:r>
          </w:p>
        </w:tc>
        <w:tc>
          <w:tcPr>
            <w:tcW w:w="0" w:type="dxa"/>
            <w:vAlign w:val="bottom"/>
          </w:tcPr>
          <w:p>
            <w:pPr>
              <w:spacing w:after="0"/>
              <w:rPr>
                <w:sz w:val="1"/>
                <w:szCs w:val="1"/>
                <w:color w:val="auto"/>
              </w:rPr>
            </w:pPr>
          </w:p>
        </w:tc>
      </w:tr>
      <w:tr>
        <w:trPr>
          <w:trHeight w:val="177"/>
        </w:trPr>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82,609,638</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6,517</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(32,737)</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(26,671)</w:t>
            </w:r>
          </w:p>
        </w:tc>
        <w:tc>
          <w:tcPr>
            <w:tcW w:w="0" w:type="dxa"/>
            <w:vAlign w:val="bottom"/>
          </w:tcPr>
          <w:p>
            <w:pPr>
              <w:spacing w:after="0"/>
              <w:rPr>
                <w:sz w:val="1"/>
                <w:szCs w:val="1"/>
                <w:color w:val="auto"/>
              </w:rPr>
            </w:pPr>
          </w:p>
        </w:tc>
      </w:tr>
      <w:tr>
        <w:trPr>
          <w:trHeight w:val="319"/>
        </w:trPr>
        <w:tc>
          <w:tcPr>
            <w:tcW w:w="960" w:type="dxa"/>
            <w:vAlign w:val="bottom"/>
          </w:tcPr>
          <w:p>
            <w:pPr>
              <w:jc w:val="right"/>
              <w:spacing w:after="0"/>
              <w:rPr>
                <w:sz w:val="20"/>
                <w:szCs w:val="20"/>
                <w:color w:val="auto"/>
              </w:rPr>
            </w:pPr>
            <w:r>
              <w:rPr>
                <w:rFonts w:ascii="Arial" w:cs="Arial" w:eastAsia="Arial" w:hAnsi="Arial"/>
                <w:sz w:val="14"/>
                <w:szCs w:val="14"/>
                <w:color w:val="auto"/>
              </w:rPr>
              <w:t>7,717,797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2,302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189"/>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8,941</w:t>
            </w:r>
          </w:p>
        </w:tc>
        <w:tc>
          <w:tcPr>
            <w:tcW w:w="0" w:type="dxa"/>
            <w:vAlign w:val="bottom"/>
          </w:tcPr>
          <w:p>
            <w:pPr>
              <w:spacing w:after="0"/>
              <w:rPr>
                <w:sz w:val="1"/>
                <w:szCs w:val="1"/>
                <w:color w:val="auto"/>
              </w:rPr>
            </w:pPr>
          </w:p>
        </w:tc>
      </w:tr>
      <w:tr>
        <w:trPr>
          <w:trHeight w:val="189"/>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95"/>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7,584</w:t>
            </w:r>
          </w:p>
        </w:tc>
        <w:tc>
          <w:tcPr>
            <w:tcW w:w="0" w:type="dxa"/>
            <w:vAlign w:val="bottom"/>
          </w:tcPr>
          <w:p>
            <w:pPr>
              <w:spacing w:after="0"/>
              <w:rPr>
                <w:sz w:val="1"/>
                <w:szCs w:val="1"/>
                <w:color w:val="auto"/>
              </w:rPr>
            </w:pPr>
          </w:p>
        </w:tc>
      </w:tr>
      <w:tr>
        <w:trPr>
          <w:trHeight w:val="182"/>
        </w:trPr>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90,327,435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17,760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(25,153)</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(7,439)</w:t>
            </w:r>
          </w:p>
        </w:tc>
        <w:tc>
          <w:tcPr>
            <w:tcW w:w="0" w:type="dxa"/>
            <w:vAlign w:val="bottom"/>
          </w:tcPr>
          <w:p>
            <w:pPr>
              <w:spacing w:after="0"/>
              <w:rPr>
                <w:sz w:val="1"/>
                <w:szCs w:val="1"/>
                <w:color w:val="auto"/>
              </w:rPr>
            </w:pPr>
          </w:p>
        </w:tc>
      </w:tr>
      <w:tr>
        <w:trPr>
          <w:trHeight w:val="454"/>
        </w:trPr>
        <w:tc>
          <w:tcPr>
            <w:tcW w:w="960" w:type="dxa"/>
            <w:vAlign w:val="bottom"/>
          </w:tcPr>
          <w:p>
            <w:pPr>
              <w:jc w:val="right"/>
              <w:spacing w:after="0"/>
              <w:rPr>
                <w:sz w:val="20"/>
                <w:szCs w:val="20"/>
                <w:color w:val="auto"/>
              </w:rPr>
            </w:pPr>
            <w:r>
              <w:rPr>
                <w:rFonts w:ascii="Arial" w:cs="Arial" w:eastAsia="Arial" w:hAnsi="Arial"/>
                <w:sz w:val="14"/>
                <w:szCs w:val="14"/>
                <w:color w:val="auto"/>
              </w:rPr>
              <w:t>152,665,804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159,399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159,552</w:t>
            </w:r>
          </w:p>
        </w:tc>
        <w:tc>
          <w:tcPr>
            <w:tcW w:w="0" w:type="dxa"/>
            <w:vAlign w:val="bottom"/>
          </w:tcPr>
          <w:p>
            <w:pPr>
              <w:spacing w:after="0"/>
              <w:rPr>
                <w:sz w:val="1"/>
                <w:szCs w:val="1"/>
                <w:color w:val="auto"/>
              </w:rPr>
            </w:pPr>
          </w:p>
        </w:tc>
      </w:tr>
      <w:tr>
        <w:trPr>
          <w:trHeight w:val="459"/>
        </w:trPr>
        <w:tc>
          <w:tcPr>
            <w:tcW w:w="960" w:type="dxa"/>
            <w:vAlign w:val="bottom"/>
          </w:tcPr>
          <w:p>
            <w:pPr>
              <w:jc w:val="right"/>
              <w:spacing w:after="0"/>
              <w:rPr>
                <w:sz w:val="20"/>
                <w:szCs w:val="20"/>
                <w:color w:val="auto"/>
              </w:rPr>
            </w:pPr>
            <w:r>
              <w:rPr>
                <w:rFonts w:ascii="Arial" w:cs="Arial" w:eastAsia="Arial" w:hAnsi="Arial"/>
                <w:sz w:val="14"/>
                <w:szCs w:val="14"/>
                <w:color w:val="auto"/>
              </w:rPr>
              <w:t>426,223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15,344</w:t>
            </w:r>
          </w:p>
        </w:tc>
        <w:tc>
          <w:tcPr>
            <w:tcW w:w="0" w:type="dxa"/>
            <w:vAlign w:val="bottom"/>
          </w:tcPr>
          <w:p>
            <w:pPr>
              <w:spacing w:after="0"/>
              <w:rPr>
                <w:sz w:val="1"/>
                <w:szCs w:val="1"/>
                <w:color w:val="auto"/>
              </w:rPr>
            </w:pPr>
          </w:p>
        </w:tc>
      </w:tr>
      <w:tr>
        <w:trPr>
          <w:trHeight w:val="594"/>
        </w:trPr>
        <w:tc>
          <w:tcPr>
            <w:tcW w:w="960" w:type="dxa"/>
            <w:vAlign w:val="bottom"/>
          </w:tcPr>
          <w:p>
            <w:pPr>
              <w:jc w:val="right"/>
              <w:spacing w:after="0"/>
              <w:rPr>
                <w:sz w:val="20"/>
                <w:szCs w:val="20"/>
                <w:color w:val="auto"/>
              </w:rPr>
            </w:pPr>
            <w:r>
              <w:rPr>
                <w:rFonts w:ascii="Arial" w:cs="Arial" w:eastAsia="Arial" w:hAnsi="Arial"/>
                <w:sz w:val="14"/>
                <w:szCs w:val="14"/>
                <w:color w:val="auto"/>
              </w:rPr>
              <w:t>15,819,646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541,483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541,499</w:t>
            </w:r>
          </w:p>
        </w:tc>
        <w:tc>
          <w:tcPr>
            <w:tcW w:w="0" w:type="dxa"/>
            <w:vAlign w:val="bottom"/>
          </w:tcPr>
          <w:p>
            <w:pPr>
              <w:spacing w:after="0"/>
              <w:rPr>
                <w:sz w:val="1"/>
                <w:szCs w:val="1"/>
                <w:color w:val="auto"/>
              </w:rPr>
            </w:pPr>
          </w:p>
        </w:tc>
      </w:tr>
      <w:tr>
        <w:trPr>
          <w:trHeight w:val="594"/>
        </w:trPr>
        <w:tc>
          <w:tcPr>
            <w:tcW w:w="960" w:type="dxa"/>
            <w:vAlign w:val="bottom"/>
          </w:tcPr>
          <w:p>
            <w:pPr>
              <w:jc w:val="right"/>
              <w:spacing w:after="0"/>
              <w:rPr>
                <w:sz w:val="20"/>
                <w:szCs w:val="20"/>
                <w:color w:val="auto"/>
              </w:rPr>
            </w:pPr>
            <w:r>
              <w:rPr>
                <w:rFonts w:ascii="Arial" w:cs="Arial" w:eastAsia="Arial" w:hAnsi="Arial"/>
                <w:sz w:val="14"/>
                <w:szCs w:val="14"/>
                <w:color w:val="auto"/>
              </w:rPr>
              <w:t>18,501,767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9,771</w:t>
            </w:r>
          </w:p>
        </w:tc>
        <w:tc>
          <w:tcPr>
            <w:tcW w:w="0" w:type="dxa"/>
            <w:vAlign w:val="bottom"/>
          </w:tcPr>
          <w:p>
            <w:pPr>
              <w:spacing w:after="0"/>
              <w:rPr>
                <w:sz w:val="1"/>
                <w:szCs w:val="1"/>
                <w:color w:val="auto"/>
              </w:rPr>
            </w:pPr>
          </w:p>
        </w:tc>
      </w:tr>
      <w:tr>
        <w:trPr>
          <w:trHeight w:val="324"/>
        </w:trPr>
        <w:tc>
          <w:tcPr>
            <w:tcW w:w="960" w:type="dxa"/>
            <w:vAlign w:val="bottom"/>
          </w:tcPr>
          <w:p>
            <w:pPr>
              <w:jc w:val="right"/>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24"/>
        </w:trPr>
        <w:tc>
          <w:tcPr>
            <w:tcW w:w="960" w:type="dxa"/>
            <w:vAlign w:val="bottom"/>
          </w:tcPr>
          <w:p>
            <w:pPr>
              <w:jc w:val="right"/>
              <w:spacing w:after="0"/>
              <w:rPr>
                <w:sz w:val="20"/>
                <w:szCs w:val="20"/>
                <w:color w:val="auto"/>
              </w:rPr>
            </w:pPr>
            <w:r>
              <w:rPr>
                <w:rFonts w:ascii="Arial" w:cs="Arial" w:eastAsia="Arial" w:hAnsi="Arial"/>
                <w:sz w:val="14"/>
                <w:szCs w:val="14"/>
                <w:color w:val="auto"/>
              </w:rPr>
              <w:t>490,268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15,482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15,482</w:t>
            </w:r>
          </w:p>
        </w:tc>
        <w:tc>
          <w:tcPr>
            <w:tcW w:w="0" w:type="dxa"/>
            <w:vAlign w:val="bottom"/>
          </w:tcPr>
          <w:p>
            <w:pPr>
              <w:spacing w:after="0"/>
              <w:rPr>
                <w:sz w:val="1"/>
                <w:szCs w:val="1"/>
                <w:color w:val="auto"/>
              </w:rPr>
            </w:pPr>
          </w:p>
        </w:tc>
      </w:tr>
      <w:tr>
        <w:trPr>
          <w:trHeight w:val="189"/>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73,485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73,485</w:t>
            </w:r>
          </w:p>
        </w:tc>
        <w:tc>
          <w:tcPr>
            <w:tcW w:w="0" w:type="dxa"/>
            <w:vAlign w:val="bottom"/>
          </w:tcPr>
          <w:p>
            <w:pPr>
              <w:spacing w:after="0"/>
              <w:rPr>
                <w:sz w:val="1"/>
                <w:szCs w:val="1"/>
                <w:color w:val="auto"/>
              </w:rPr>
            </w:pPr>
          </w:p>
        </w:tc>
      </w:tr>
      <w:tr>
        <w:trPr>
          <w:trHeight w:val="189"/>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195"/>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25,305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25,305</w:t>
            </w:r>
          </w:p>
        </w:tc>
        <w:tc>
          <w:tcPr>
            <w:tcW w:w="0" w:type="dxa"/>
            <w:vAlign w:val="bottom"/>
          </w:tcPr>
          <w:p>
            <w:pPr>
              <w:spacing w:after="0"/>
              <w:rPr>
                <w:sz w:val="1"/>
                <w:szCs w:val="1"/>
                <w:color w:val="auto"/>
              </w:rPr>
            </w:pPr>
          </w:p>
        </w:tc>
      </w:tr>
      <w:tr>
        <w:trPr>
          <w:trHeight w:val="182"/>
        </w:trPr>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278,731,143</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832,705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833,943</w:t>
            </w:r>
          </w:p>
        </w:tc>
        <w:tc>
          <w:tcPr>
            <w:tcW w:w="0" w:type="dxa"/>
            <w:vAlign w:val="bottom"/>
          </w:tcPr>
          <w:p>
            <w:pPr>
              <w:spacing w:after="0"/>
              <w:rPr>
                <w:sz w:val="1"/>
                <w:szCs w:val="1"/>
                <w:color w:val="auto"/>
              </w:rPr>
            </w:pPr>
          </w:p>
        </w:tc>
      </w:tr>
      <w:tr>
        <w:trPr>
          <w:trHeight w:val="589"/>
        </w:trPr>
        <w:tc>
          <w:tcPr>
            <w:tcW w:w="960" w:type="dxa"/>
            <w:vAlign w:val="bottom"/>
          </w:tcPr>
          <w:p>
            <w:pPr>
              <w:jc w:val="right"/>
              <w:spacing w:after="0"/>
              <w:rPr>
                <w:sz w:val="20"/>
                <w:szCs w:val="20"/>
                <w:color w:val="auto"/>
              </w:rPr>
            </w:pPr>
            <w:r>
              <w:rPr>
                <w:rFonts w:ascii="Arial" w:cs="Arial" w:eastAsia="Arial" w:hAnsi="Arial"/>
                <w:sz w:val="14"/>
                <w:szCs w:val="14"/>
                <w:color w:val="auto"/>
              </w:rPr>
              <w:t>5,882,353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1,979,538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1,979,544</w:t>
            </w:r>
          </w:p>
        </w:tc>
        <w:tc>
          <w:tcPr>
            <w:tcW w:w="0" w:type="dxa"/>
            <w:vAlign w:val="bottom"/>
          </w:tcPr>
          <w:p>
            <w:pPr>
              <w:spacing w:after="0"/>
              <w:rPr>
                <w:sz w:val="1"/>
                <w:szCs w:val="1"/>
                <w:color w:val="auto"/>
              </w:rPr>
            </w:pPr>
          </w:p>
        </w:tc>
      </w:tr>
      <w:tr>
        <w:trPr>
          <w:trHeight w:val="324"/>
        </w:trPr>
        <w:tc>
          <w:tcPr>
            <w:tcW w:w="960" w:type="dxa"/>
            <w:vAlign w:val="bottom"/>
          </w:tcPr>
          <w:p>
            <w:pPr>
              <w:jc w:val="right"/>
              <w:spacing w:after="0"/>
              <w:rPr>
                <w:sz w:val="20"/>
                <w:szCs w:val="20"/>
                <w:color w:val="auto"/>
              </w:rPr>
            </w:pPr>
            <w:r>
              <w:rPr>
                <w:rFonts w:ascii="Arial" w:cs="Arial" w:eastAsia="Arial" w:hAnsi="Arial"/>
                <w:sz w:val="14"/>
                <w:szCs w:val="14"/>
                <w:color w:val="auto"/>
              </w:rPr>
              <w:t>7,378,477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29,100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29,107</w:t>
            </w:r>
          </w:p>
        </w:tc>
        <w:tc>
          <w:tcPr>
            <w:tcW w:w="0" w:type="dxa"/>
            <w:vAlign w:val="bottom"/>
          </w:tcPr>
          <w:p>
            <w:pPr>
              <w:spacing w:after="0"/>
              <w:rPr>
                <w:sz w:val="1"/>
                <w:szCs w:val="1"/>
                <w:color w:val="auto"/>
              </w:rPr>
            </w:pPr>
          </w:p>
        </w:tc>
      </w:tr>
      <w:tr>
        <w:trPr>
          <w:trHeight w:val="324"/>
        </w:trPr>
        <w:tc>
          <w:tcPr>
            <w:tcW w:w="960" w:type="dxa"/>
            <w:vAlign w:val="bottom"/>
          </w:tcPr>
          <w:p>
            <w:pPr>
              <w:jc w:val="right"/>
              <w:spacing w:after="0"/>
              <w:rPr>
                <w:sz w:val="20"/>
                <w:szCs w:val="20"/>
                <w:color w:val="auto"/>
              </w:rPr>
            </w:pPr>
            <w:r>
              <w:rPr>
                <w:rFonts w:ascii="Arial" w:cs="Arial" w:eastAsia="Arial" w:hAnsi="Arial"/>
                <w:sz w:val="14"/>
                <w:szCs w:val="14"/>
                <w:color w:val="auto"/>
              </w:rPr>
              <w:t>633,697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23,312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23,312</w:t>
            </w:r>
          </w:p>
        </w:tc>
        <w:tc>
          <w:tcPr>
            <w:tcW w:w="0" w:type="dxa"/>
            <w:vAlign w:val="bottom"/>
          </w:tcPr>
          <w:p>
            <w:pPr>
              <w:spacing w:after="0"/>
              <w:rPr>
                <w:sz w:val="1"/>
                <w:szCs w:val="1"/>
                <w:color w:val="auto"/>
              </w:rPr>
            </w:pPr>
          </w:p>
        </w:tc>
      </w:tr>
      <w:tr>
        <w:trPr>
          <w:trHeight w:val="324"/>
        </w:trPr>
        <w:tc>
          <w:tcPr>
            <w:tcW w:w="960" w:type="dxa"/>
            <w:vAlign w:val="bottom"/>
          </w:tcPr>
          <w:p>
            <w:pPr>
              <w:jc w:val="right"/>
              <w:spacing w:after="0"/>
              <w:rPr>
                <w:sz w:val="20"/>
                <w:szCs w:val="20"/>
                <w:color w:val="auto"/>
              </w:rPr>
            </w:pPr>
            <w:r>
              <w:rPr>
                <w:rFonts w:ascii="Arial" w:cs="Arial" w:eastAsia="Arial" w:hAnsi="Arial"/>
                <w:sz w:val="14"/>
                <w:szCs w:val="14"/>
                <w:color w:val="auto"/>
              </w:rPr>
              <w:t>923,553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38,432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38,433</w:t>
            </w:r>
          </w:p>
        </w:tc>
        <w:tc>
          <w:tcPr>
            <w:tcW w:w="0" w:type="dxa"/>
            <w:vAlign w:val="bottom"/>
          </w:tcPr>
          <w:p>
            <w:pPr>
              <w:spacing w:after="0"/>
              <w:rPr>
                <w:sz w:val="1"/>
                <w:szCs w:val="1"/>
                <w:color w:val="auto"/>
              </w:rPr>
            </w:pPr>
          </w:p>
        </w:tc>
      </w:tr>
      <w:tr>
        <w:trPr>
          <w:trHeight w:val="189"/>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284,081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284,081</w:t>
            </w:r>
          </w:p>
        </w:tc>
        <w:tc>
          <w:tcPr>
            <w:tcW w:w="0" w:type="dxa"/>
            <w:vAlign w:val="bottom"/>
          </w:tcPr>
          <w:p>
            <w:pPr>
              <w:spacing w:after="0"/>
              <w:rPr>
                <w:sz w:val="1"/>
                <w:szCs w:val="1"/>
                <w:color w:val="auto"/>
              </w:rPr>
            </w:pPr>
          </w:p>
        </w:tc>
      </w:tr>
      <w:tr>
        <w:trPr>
          <w:trHeight w:val="189"/>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5"/>
        </w:trPr>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672,316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672,316</w:t>
            </w:r>
          </w:p>
        </w:tc>
        <w:tc>
          <w:tcPr>
            <w:tcW w:w="0" w:type="dxa"/>
            <w:vAlign w:val="bottom"/>
          </w:tcPr>
          <w:p>
            <w:pPr>
              <w:spacing w:after="0"/>
              <w:rPr>
                <w:sz w:val="1"/>
                <w:szCs w:val="1"/>
                <w:color w:val="auto"/>
              </w:rPr>
            </w:pPr>
          </w:p>
        </w:tc>
      </w:tr>
      <w:tr>
        <w:trPr>
          <w:trHeight w:val="185"/>
        </w:trPr>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293,549,223</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3,187,168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672,468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3,860,767</w:t>
            </w:r>
          </w:p>
        </w:tc>
        <w:tc>
          <w:tcPr>
            <w:tcW w:w="0" w:type="dxa"/>
            <w:vAlign w:val="bottom"/>
          </w:tcPr>
          <w:p>
            <w:pPr>
              <w:spacing w:after="0"/>
              <w:rPr>
                <w:sz w:val="1"/>
                <w:szCs w:val="1"/>
                <w:color w:val="auto"/>
              </w:rPr>
            </w:pPr>
          </w:p>
        </w:tc>
      </w:tr>
      <w:tr>
        <w:trPr>
          <w:trHeight w:val="24"/>
        </w:trPr>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2">
            <w:col w:w="4380" w:space="220"/>
            <w:col w:w="6640"/>
          </w:cols>
          <w:pgMar w:left="320" w:top="125" w:right="3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6"/>
                <w:szCs w:val="16"/>
                <w:b w:val="1"/>
                <w:bCs w:val="1"/>
                <w:color w:val="auto"/>
              </w:rPr>
              <w:t>Year Ended January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672,316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25,305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7,584</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275,818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73,109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8,941</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contract acquisition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20,839</w:t>
            </w: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Provision for accounts receivable allowances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32,007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1,953</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7,008</w:t>
            </w: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Charitable donation of common stock</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23,312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operating lease cost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(219,039)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(64,715)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(41,040)</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(7,971)</w:t>
            </w:r>
          </w:p>
        </w:tc>
        <w:tc>
          <w:tcPr>
            <w:tcW w:w="0" w:type="dxa"/>
            <w:vAlign w:val="bottom"/>
          </w:tcPr>
          <w:p>
            <w:pPr>
              <w:spacing w:after="0"/>
              <w:rPr>
                <w:sz w:val="1"/>
                <w:szCs w:val="1"/>
                <w:color w:val="auto"/>
              </w:rPr>
            </w:pPr>
          </w:p>
        </w:tc>
      </w:tr>
      <w:tr>
        <w:trPr>
          <w:trHeight w:val="213"/>
        </w:trPr>
        <w:tc>
          <w:tcPr>
            <w:tcW w:w="6960" w:type="dxa"/>
            <w:vAlign w:val="bottom"/>
          </w:tcPr>
          <w:p>
            <w:pPr>
              <w:ind w:left="480"/>
              <w:spacing w:after="0"/>
              <w:rPr>
                <w:sz w:val="20"/>
                <w:szCs w:val="20"/>
                <w:color w:val="auto"/>
              </w:rPr>
            </w:pPr>
            <w:r>
              <w:rPr>
                <w:rFonts w:ascii="Arial" w:cs="Arial" w:eastAsia="Arial" w:hAnsi="Arial"/>
                <w:sz w:val="16"/>
                <w:szCs w:val="16"/>
                <w:color w:val="auto"/>
              </w:rPr>
              <w:t>Deferred contract acquisition costs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(307,068)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(72,714)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(45,769)</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0" w:type="dxa"/>
            <w:vAlign w:val="bottom"/>
          </w:tcPr>
          <w:p>
            <w:pPr>
              <w:spacing w:after="0"/>
              <w:rPr>
                <w:sz w:val="1"/>
                <w:szCs w:val="1"/>
                <w:color w:val="auto"/>
              </w:rPr>
            </w:pPr>
          </w:p>
        </w:tc>
      </w:tr>
      <w:tr>
        <w:trPr>
          <w:trHeight w:val="213"/>
        </w:trPr>
        <w:tc>
          <w:tcPr>
            <w:tcW w:w="6960" w:type="dxa"/>
            <w:vAlign w:val="bottom"/>
          </w:tcPr>
          <w:p>
            <w:pPr>
              <w:ind w:left="48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251,654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51,179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27,407</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Deferred revenue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665,724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106,286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71,511</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Operating lease liabilities, net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9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1,471,177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51,332</w:t>
            </w:r>
          </w:p>
        </w:tc>
        <w:tc>
          <w:tcPr>
            <w:tcW w:w="0" w:type="dxa"/>
            <w:vAlign w:val="bottom"/>
          </w:tcPr>
          <w:p>
            <w:pPr>
              <w:spacing w:after="0"/>
              <w:rPr>
                <w:sz w:val="1"/>
                <w:szCs w:val="1"/>
                <w:color w:val="auto"/>
              </w:rPr>
            </w:pP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marketable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(2,056,470)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(800,228)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(78,016)</w:t>
            </w: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Maturities of marketable securities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580,795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343,554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68,747</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of marketable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(79,972)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(38,084)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(28,432)</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acquisition, net of cash acquired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Purchase of equity investment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intangible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Purchase of convertible promissory note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6960" w:type="dxa"/>
            <w:vAlign w:val="bottom"/>
          </w:tcPr>
          <w:p>
            <w:pPr>
              <w:ind w:left="100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(1,562,420)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(499,468)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(39,719)</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960" w:type="dxa"/>
            <w:vAlign w:val="bottom"/>
          </w:tcPr>
          <w:p>
            <w:pPr>
              <w:ind w:left="220"/>
              <w:spacing w:after="0" w:line="166" w:lineRule="exact"/>
              <w:rPr>
                <w:sz w:val="20"/>
                <w:szCs w:val="20"/>
                <w:color w:val="auto"/>
              </w:rPr>
            </w:pPr>
            <w:r>
              <w:rPr>
                <w:rFonts w:ascii="Arial" w:cs="Arial" w:eastAsia="Arial" w:hAnsi="Arial"/>
                <w:sz w:val="16"/>
                <w:szCs w:val="16"/>
                <w:color w:val="auto"/>
                <w:w w:val="97"/>
              </w:rPr>
              <w:t>Proceeds from follow-on public offering, net of underwriting discounts and commissions and other</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1,979,206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960" w:type="dxa"/>
            <w:vAlign w:val="bottom"/>
          </w:tcPr>
          <w:p>
            <w:pPr>
              <w:ind w:left="220"/>
              <w:spacing w:after="0"/>
              <w:rPr>
                <w:sz w:val="20"/>
                <w:szCs w:val="20"/>
                <w:color w:val="auto"/>
              </w:rPr>
            </w:pPr>
            <w:r>
              <w:rPr>
                <w:rFonts w:ascii="Arial" w:cs="Arial" w:eastAsia="Arial" w:hAnsi="Arial"/>
                <w:sz w:val="16"/>
                <w:szCs w:val="16"/>
                <w:color w:val="auto"/>
              </w:rPr>
              <w:t>offering costs</w:t>
            </w: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common stock for employee stock purchase plan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 net of repurchases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28,550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3,565</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8"/>
              </w:rPr>
              <w:t>Proceeds from employee equity transactions to be remitted to employees and tax authorities,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6960" w:type="dxa"/>
            <w:vAlign w:val="bottom"/>
          </w:tcPr>
          <w:p>
            <w:pPr>
              <w:ind w:left="220"/>
              <w:spacing w:after="0" w:line="166" w:lineRule="exact"/>
              <w:rPr>
                <w:sz w:val="20"/>
                <w:szCs w:val="20"/>
                <w:color w:val="auto"/>
              </w:rPr>
            </w:pPr>
            <w:r>
              <w:rPr>
                <w:rFonts w:ascii="Arial" w:cs="Arial" w:eastAsia="Arial" w:hAnsi="Arial"/>
                <w:sz w:val="16"/>
                <w:szCs w:val="16"/>
                <w:color w:val="auto"/>
              </w:rPr>
              <w:t>Proceeds from initial public offering and private placement, net of underwriting discounts and</w:t>
            </w:r>
          </w:p>
        </w:tc>
        <w:tc>
          <w:tcPr>
            <w:tcW w:w="300" w:type="dxa"/>
            <w:vAlign w:val="bottom"/>
          </w:tcPr>
          <w:p>
            <w:pPr>
              <w:spacing w:after="0"/>
              <w:rPr>
                <w:sz w:val="14"/>
                <w:szCs w:val="14"/>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542,492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09"/>
        </w:trPr>
        <w:tc>
          <w:tcPr>
            <w:tcW w:w="6960" w:type="dxa"/>
            <w:vAlign w:val="bottom"/>
          </w:tcPr>
          <w:p>
            <w:pPr>
              <w:ind w:left="220"/>
              <w:spacing w:after="0"/>
              <w:rPr>
                <w:sz w:val="20"/>
                <w:szCs w:val="20"/>
                <w:color w:val="auto"/>
              </w:rPr>
            </w:pPr>
            <w:r>
              <w:rPr>
                <w:rFonts w:ascii="Arial" w:cs="Arial" w:eastAsia="Arial" w:hAnsi="Arial"/>
                <w:sz w:val="16"/>
                <w:szCs w:val="16"/>
                <w:color w:val="auto"/>
              </w:rPr>
              <w:t>commissions and other offering costs</w:t>
            </w:r>
          </w:p>
        </w:tc>
        <w:tc>
          <w:tcPr>
            <w:tcW w:w="3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convertible promissory notes and derivatives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Principal payments on capital lease obligations</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3"/>
        </w:trPr>
        <w:tc>
          <w:tcPr>
            <w:tcW w:w="6960" w:type="dxa"/>
            <w:vAlign w:val="bottom"/>
            <w:tcBorders>
              <w:top w:val="single" w:sz="8" w:color="CCEEFF"/>
            </w:tcBorders>
            <w:shd w:val="clear" w:color="auto" w:fill="CCEEFF"/>
          </w:tcPr>
          <w:p>
            <w:pPr>
              <w:ind w:left="100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2,050,277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615,690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17,534</w:t>
            </w:r>
          </w:p>
        </w:tc>
        <w:tc>
          <w:tcPr>
            <w:tcW w:w="0" w:type="dxa"/>
            <w:vAlign w:val="bottom"/>
          </w:tcPr>
          <w:p>
            <w:pPr>
              <w:spacing w:after="0"/>
              <w:rPr>
                <w:sz w:val="1"/>
                <w:szCs w:val="1"/>
                <w:color w:val="auto"/>
              </w:rPr>
            </w:pPr>
          </w:p>
        </w:tc>
      </w:tr>
      <w:tr>
        <w:trPr>
          <w:trHeight w:val="207"/>
        </w:trPr>
        <w:tc>
          <w:tcPr>
            <w:tcW w:w="696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1,959,034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268,114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29,147</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36,821</w:t>
            </w:r>
          </w:p>
        </w:tc>
        <w:tc>
          <w:tcPr>
            <w:tcW w:w="0" w:type="dxa"/>
            <w:vAlign w:val="bottom"/>
          </w:tcPr>
          <w:p>
            <w:pPr>
              <w:spacing w:after="0"/>
              <w:rPr>
                <w:sz w:val="1"/>
                <w:szCs w:val="1"/>
                <w:color w:val="auto"/>
              </w:rPr>
            </w:pPr>
          </w:p>
        </w:tc>
      </w:tr>
      <w:tr>
        <w:trPr>
          <w:trHeight w:val="206"/>
        </w:trPr>
        <w:tc>
          <w:tcPr>
            <w:tcW w:w="69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cash—end of year</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2,293,116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334,082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65,968</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Cash paid for income taxes, net</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3,181</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information</w:t>
            </w: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Conversion of convertible preferred stock to Class B common stock upon initial public offering</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159,552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Conversion of debt to Class A common stock</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Purchase of equipment during the period included in accounts payable and accrued expenses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60" w:type="dxa"/>
            <w:vAlign w:val="bottom"/>
            <w:vMerge w:val="continue"/>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34,514</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3,284</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Vesting of early exercised stock options and restricted stock awards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Deferred offering costs, accrued but not paid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960" w:type="dxa"/>
            <w:vAlign w:val="bottom"/>
            <w:vMerge w:val="continue"/>
          </w:tcPr>
          <w:p>
            <w:pPr>
              <w:spacing w:after="0"/>
              <w:rPr>
                <w:sz w:val="14"/>
                <w:szCs w:val="14"/>
                <w:color w:val="auto"/>
              </w:rPr>
            </w:pPr>
          </w:p>
        </w:tc>
        <w:tc>
          <w:tcPr>
            <w:tcW w:w="380" w:type="dxa"/>
            <w:vAlign w:val="bottom"/>
          </w:tcPr>
          <w:p>
            <w:pPr>
              <w:jc w:val="right"/>
              <w:ind w:right="199"/>
              <w:spacing w:after="0" w:line="166" w:lineRule="exact"/>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60"/>
              <w:spacing w:after="0" w:line="166"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line="166" w:lineRule="exact"/>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60"/>
              <w:spacing w:after="0" w:line="166"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line="166" w:lineRule="exact"/>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line="166" w:lineRule="exact"/>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96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Reconciliation of cash, cash equivalents, and restricted cash within the consolidated balance sheets</w:t>
            </w:r>
          </w:p>
        </w:tc>
        <w:tc>
          <w:tcPr>
            <w:tcW w:w="3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 the amounts shown in the consolidated statements of cash flows above:</w:t>
            </w: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2,240,303</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283,134</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63,624</w:t>
            </w:r>
          </w:p>
        </w:tc>
        <w:tc>
          <w:tcPr>
            <w:tcW w:w="0" w:type="dxa"/>
            <w:vAlign w:val="bottom"/>
          </w:tcPr>
          <w:p>
            <w:pPr>
              <w:spacing w:after="0"/>
              <w:rPr>
                <w:sz w:val="1"/>
                <w:szCs w:val="1"/>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Restricted cash, current included in prepaid expenses and other current assets</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3"/>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Restricted cash, noncurrent included in other assets, noncurrent</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235"/>
        </w:trPr>
        <w:tc>
          <w:tcPr>
            <w:tcW w:w="69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Total cash, cash equivalents, and restricted cash</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2,293,116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334,082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65,968</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Zoom Video Communications, Inc. and its subsidiaries (collectively, “Zoom,” the “Company,” “we,” “us,” or “our”) provide a video-first unified communications platform that delivers happiness and fundamentally changes how people interact. We connect people through frictionless and secure video, phone, chat, and content sharing and enable face-to-face video experiences for thousands of people in a single meeting across disparate devices and locations. We were incorporated in the state of Delaware in April 2011, and are headquartered in San Jose, California.</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fiscal year ends on January 31. References to fiscal year 2021, for example, refer to the fiscal year ended January 31, 2021.</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(“GAAP”) and include the accounts of Zoom Video Communications, Inc., its subsidiaries, and a variable interest entity for which we are the primary beneficiary. All intercompany balances and transactions have been eliminated in consolidation.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 and expenses during the reporting period. Significant items subject to such estimates and assumptions include, but are not limited to, the estimated expected benefit period for deferred contract acquisition costs, the allowance for credit losses, the useful lives of long-lived assets, the incremental borrowing rate for operating leases, stock-based compensation expense, sales and other tax liabilities, the fair value of marketable securities, equity investment, convertible promissory note, acquired intangible assets and goodwill, and the valuation of deferred income tax assets and uncertain tax positions. Actual results could differ from those estimates.</w:t>
      </w:r>
    </w:p>
    <w:p>
      <w:pPr>
        <w:spacing w:after="0" w:line="6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COVID-19 pandemic has created, and may continue to create, significant uncertainty in macroeconomic conditions, and the extent of its impact on our operational and financial performance will depend on certain developments, including the duration and spread of the outbreak and the impact on our customers and our sales cycles. During the fiscal years ended January 31, 2021 and 2020, our estimates and assumptions required increased judgment and carried a higher degree of variability and volatility. As events continue to evolve and additional information becomes available, our estimates may change materially in future periods.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marketable securities, restricted cash, and accounts receivable. We maintain our cash, cash equivalents, marketable securities, and restricted cash with high-quality financial institutions with investment-grade ratings. A majority of the cash balances are with U.S. banks and are insured to the extent defined by the Federal Deposit Insurance Corporation.</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No single customer accounted for more than 10% of accounts receivable at January 31, 2021 or 2020. No single customer accounted for 10% or more of total revenue during the fiscal years ended January 31, 2021, 2020, or 2019.</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Cash and cash equivalents consist of cash in banks and highly liquid investments, primarily money market funds, purchased with an original maturity of three months or less.</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Restricted cash consists of certificates of deposit collateralizing our operating leases, corporate credit cards, and cash from proceeds from international employees’ sales of our common stock, and is included in prepaid expenses and other current assets and other assets, noncurrent in the consolidated balance sheets.</w:t>
      </w:r>
    </w:p>
    <w:p>
      <w:pPr>
        <w:spacing w:after="0" w:line="7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January 31, 2021 and 2020, we had $50.5 million and $48.5 million, respectively, of cash from proceeds from international employees’ sales of our common stock. The amount is held in our bank account until it is remitted to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employees and the tax authorities. Due to the restrictions on the use of the funds in the bank account, we have classified the amount as restricted cash included in prepaid expenses and other current assets, and a corresponding amount is included in accrued expenses and other current liabilities in the consolidated balance sheets.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Allowance for Credit Losses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are exposed to credit losses primarily through our accounts receivable and investments in available-for-sale debt securities. See Note 3 for additional information related to our available-for-sale debt securities.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Accounts receivable, net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Accounts receivable are recorded for invoiced amounts and amounts for which revenue has been recognized, but not invoiced, net of allowances.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short-term accounts receivable consist of the following: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Accounts receivable,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Allowance for returns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8"/>
        <w:spacing w:after="0"/>
        <w:rPr>
          <w:sz w:val="20"/>
          <w:szCs w:val="20"/>
          <w:color w:val="auto"/>
        </w:rPr>
      </w:pPr>
      <w:r>
        <w:rPr>
          <w:rFonts w:ascii="Arial" w:cs="Arial" w:eastAsia="Arial" w:hAnsi="Arial"/>
          <w:sz w:val="14"/>
          <w:szCs w:val="14"/>
          <w:b w:val="1"/>
          <w:bCs w:val="1"/>
          <w:color w:val="auto"/>
        </w:rPr>
        <w:t>As of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11747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62" w:lineRule="exact"/>
        <w:rPr>
          <w:sz w:val="20"/>
          <w:szCs w:val="20"/>
          <w:color w:val="auto"/>
        </w:rPr>
      </w:pPr>
    </w:p>
    <w:p>
      <w:pPr>
        <w:jc w:val="center"/>
        <w:ind w:right="8"/>
        <w:spacing w:after="0"/>
        <w:rPr>
          <w:sz w:val="20"/>
          <w:szCs w:val="20"/>
          <w:color w:val="auto"/>
        </w:rPr>
      </w:pPr>
      <w:r>
        <w:rPr>
          <w:rFonts w:ascii="Arial" w:cs="Arial" w:eastAsia="Arial" w:hAnsi="Arial"/>
          <w:sz w:val="14"/>
          <w:szCs w:val="14"/>
          <w:b w:val="1"/>
          <w:bCs w:val="1"/>
          <w:color w:val="auto"/>
        </w:rPr>
        <w:t>(in thousands)</w:t>
      </w:r>
    </w:p>
    <w:p>
      <w:pPr>
        <w:spacing w:after="0" w:line="36" w:lineRule="exact"/>
        <w:rPr>
          <w:sz w:val="20"/>
          <w:szCs w:val="20"/>
          <w:color w:val="auto"/>
        </w:rPr>
      </w:pPr>
    </w:p>
    <w:p>
      <w:pPr>
        <w:ind w:left="1172" w:hanging="1172"/>
        <w:spacing w:after="0"/>
        <w:tabs>
          <w:tab w:leader="none" w:pos="1172" w:val="left"/>
        </w:tabs>
        <w:numPr>
          <w:ilvl w:val="0"/>
          <w:numId w:val="32"/>
        </w:numPr>
        <w:rPr>
          <w:rFonts w:ascii="Arial" w:cs="Arial" w:eastAsia="Arial" w:hAnsi="Arial"/>
          <w:sz w:val="17"/>
          <w:szCs w:val="17"/>
          <w:color w:val="auto"/>
        </w:rPr>
      </w:pPr>
      <w:r>
        <w:rPr>
          <w:rFonts w:ascii="Arial" w:cs="Arial" w:eastAsia="Arial" w:hAnsi="Arial"/>
          <w:sz w:val="17"/>
          <w:szCs w:val="17"/>
          <w:color w:val="auto"/>
        </w:rPr>
        <w:t>331,547</w:t>
      </w:r>
    </w:p>
    <w:p>
      <w:pPr>
        <w:spacing w:after="0" w:line="34" w:lineRule="exact"/>
        <w:rPr>
          <w:rFonts w:ascii="Arial" w:cs="Arial" w:eastAsia="Arial" w:hAnsi="Arial"/>
          <w:sz w:val="17"/>
          <w:szCs w:val="17"/>
          <w:color w:val="auto"/>
        </w:rPr>
      </w:pPr>
    </w:p>
    <w:p>
      <w:pPr>
        <w:ind w:left="1192"/>
        <w:spacing w:after="0"/>
        <w:rPr>
          <w:rFonts w:ascii="Arial" w:cs="Arial" w:eastAsia="Arial" w:hAnsi="Arial"/>
          <w:sz w:val="17"/>
          <w:szCs w:val="17"/>
          <w:color w:val="auto"/>
        </w:rPr>
      </w:pPr>
      <w:r>
        <w:rPr>
          <w:rFonts w:ascii="Arial" w:cs="Arial" w:eastAsia="Arial" w:hAnsi="Arial"/>
          <w:sz w:val="16"/>
          <w:szCs w:val="16"/>
          <w:color w:val="auto"/>
        </w:rPr>
        <w:t>(20,500)</w:t>
      </w:r>
    </w:p>
    <w:p>
      <w:pPr>
        <w:spacing w:after="0" w:line="45" w:lineRule="exact"/>
        <w:rPr>
          <w:rFonts w:ascii="Arial" w:cs="Arial" w:eastAsia="Arial" w:hAnsi="Arial"/>
          <w:sz w:val="17"/>
          <w:szCs w:val="17"/>
          <w:color w:val="auto"/>
        </w:rPr>
      </w:pPr>
    </w:p>
    <w:p>
      <w:pPr>
        <w:ind w:left="1192"/>
        <w:spacing w:after="0"/>
        <w:rPr>
          <w:rFonts w:ascii="Arial" w:cs="Arial" w:eastAsia="Arial" w:hAnsi="Arial"/>
          <w:sz w:val="17"/>
          <w:szCs w:val="17"/>
          <w:color w:val="auto"/>
        </w:rPr>
      </w:pPr>
      <w:r>
        <w:rPr>
          <w:rFonts w:ascii="Arial" w:cs="Arial" w:eastAsia="Arial" w:hAnsi="Arial"/>
          <w:sz w:val="16"/>
          <w:szCs w:val="16"/>
          <w:color w:val="auto"/>
        </w:rPr>
        <w:t>(16,344)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11747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38" w:lineRule="exact"/>
        <w:rPr>
          <w:sz w:val="20"/>
          <w:szCs w:val="20"/>
          <w:color w:val="auto"/>
        </w:rPr>
      </w:pPr>
    </w:p>
    <w:p>
      <w:pPr>
        <w:ind w:left="1172" w:hanging="1172"/>
        <w:spacing w:after="0"/>
        <w:tabs>
          <w:tab w:leader="none" w:pos="1172" w:val="left"/>
        </w:tabs>
        <w:numPr>
          <w:ilvl w:val="0"/>
          <w:numId w:val="33"/>
        </w:numPr>
        <w:rPr>
          <w:rFonts w:ascii="Arial" w:cs="Arial" w:eastAsia="Arial" w:hAnsi="Arial"/>
          <w:sz w:val="17"/>
          <w:szCs w:val="17"/>
          <w:color w:val="auto"/>
        </w:rPr>
      </w:pPr>
      <w:r>
        <w:rPr>
          <w:rFonts w:ascii="Arial" w:cs="Arial" w:eastAsia="Arial" w:hAnsi="Arial"/>
          <w:sz w:val="17"/>
          <w:szCs w:val="17"/>
          <w:color w:val="auto"/>
        </w:rPr>
        <w:t>294,703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11747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7475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11747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688" w:space="720"/>
            <w:col w:w="1832"/>
          </w:cols>
          <w:pgMar w:left="320" w:top="125" w:right="339" w:bottom="1440" w:gutter="0" w:footer="0" w:header="0"/>
          <w:type w:val="continuous"/>
        </w:sectPr>
      </w:pPr>
    </w:p>
    <w:p>
      <w:pPr>
        <w:spacing w:after="0" w:line="52"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maintain an allowance for credit losses for expected uncollectible accounts receivable, which is recorded as an offset to accounts receivable, and changes in such are classified as general and administrative expense in the consolidated statements of operations. The allowance for credit losses is based on management’s estimate for expected credit losses for outstanding accounts receivable. We determine expected credit losses based on historical write-off experience, an analysis of the aging of outstanding receivables, customer payment patterns, the establishment of specific reserves for customers in an adverse financial condition, and adjust based upon our expectations of changes in macroeconomic conditions that may impact the collectibility of outstanding receivables, including noncurrent accounts receivable. We also consider current market conditions and reasonable and supportable forecasts of future economic conditions to inform adjustments to historical loss data. We reassess the adequacy of the allowance for credit losses each reporting period. Furthermore, the allowance for sales returns is recorded as an offset to accounts receivable, and changes to the allowance are classified as a reduction in revenue in the consolidated statements of operations. We estimate returns from sales to customers based on historical chargebacks and return rates.</w:t>
      </w:r>
    </w:p>
    <w:p>
      <w:pPr>
        <w:spacing w:after="0" w:line="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the fiscal year ended January 31, 2021, our assessment considered business and market disruptions caused by COVID-19 and estimates of credit and collectibility trends. The continued volatility in market conditions and evolving shifts in credit trends are difficult to predict, causing variability and volatility that may have a material impact on our allowance for credit losses in future periods. Below is a rollforward of our allowance for credit losses for the fiscal year ended January 31, 2021.</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tcPr>
          <w:p>
            <w:pPr>
              <w:jc w:val="right"/>
              <w:ind w:right="374"/>
              <w:spacing w:after="0"/>
              <w:rPr>
                <w:sz w:val="20"/>
                <w:szCs w:val="20"/>
                <w:color w:val="auto"/>
              </w:rPr>
            </w:pPr>
            <w:r>
              <w:rPr>
                <w:rFonts w:ascii="Arial" w:cs="Arial" w:eastAsia="Arial" w:hAnsi="Arial"/>
                <w:sz w:val="14"/>
                <w:szCs w:val="14"/>
                <w:b w:val="1"/>
                <w:bCs w:val="1"/>
                <w:color w:val="auto"/>
              </w:rPr>
              <w:t>(in thousands)</w:t>
            </w:r>
          </w:p>
        </w:tc>
      </w:tr>
      <w:tr>
        <w:trPr>
          <w:trHeight w:val="235"/>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31, 2020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r>
      <w:tr>
        <w:trPr>
          <w:trHeight w:val="230"/>
        </w:trPr>
        <w:tc>
          <w:tcPr>
            <w:tcW w:w="940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25,651</w:t>
            </w:r>
          </w:p>
        </w:tc>
      </w:tr>
      <w:tr>
        <w:trPr>
          <w:trHeight w:val="229"/>
        </w:trPr>
        <w:tc>
          <w:tcPr>
            <w:tcW w:w="9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3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(10,301)</w:t>
            </w:r>
          </w:p>
        </w:tc>
      </w:tr>
      <w:tr>
        <w:trPr>
          <w:trHeight w:val="223"/>
        </w:trPr>
        <w:tc>
          <w:tcPr>
            <w:tcW w:w="9400" w:type="dxa"/>
            <w:vAlign w:val="bottom"/>
          </w:tcPr>
          <w:p>
            <w:pPr>
              <w:ind w:left="20"/>
              <w:spacing w:after="0"/>
              <w:rPr>
                <w:sz w:val="20"/>
                <w:szCs w:val="20"/>
                <w:color w:val="auto"/>
              </w:rPr>
            </w:pPr>
            <w:r>
              <w:rPr>
                <w:rFonts w:ascii="Arial" w:cs="Arial" w:eastAsia="Arial" w:hAnsi="Arial"/>
                <w:sz w:val="18"/>
                <w:szCs w:val="18"/>
                <w:color w:val="auto"/>
              </w:rPr>
              <w:t>Balance as of January 31, 2021</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20,500</w:t>
            </w:r>
          </w:p>
        </w:tc>
      </w:tr>
      <w:tr>
        <w:trPr>
          <w:trHeight w:val="21"/>
        </w:trPr>
        <w:tc>
          <w:tcPr>
            <w:tcW w:w="9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i w:val="1"/>
          <w:iCs w:val="1"/>
          <w:u w:val="single" w:color="auto"/>
          <w:color w:val="auto"/>
        </w:rPr>
        <w:t>Available-for-sale Investments</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Available-for-sale investments consist primarily of high-grade commercial paper, agency bonds, corporate bonds, corporate and other debt securities, U.S. government agency securities, and treasury bills. We classify our marketable securities as available-for-sale at the time of purchase and reevaluate such classification at each balance sheet date. We may sell these securities at any time for use in current operations even if they have not yet reached maturity. As a result, we classify our securities, including those with maturities beyond 12 months, as current assets in the consolidated balance sheets. We carry these securities at fair value and record unrealized gains and losses in accumulated other comprehensive income, which is reflected as a component of stockholders’ equity. We evaluate our securities with unrealized loss positions as to whether the declines in fair value were due to credit losses, and record the portion of impairment relating to the credit losses through allowance for credit losses limited to the amount that fair value was less than the amortized cost basis. Realized gains and losses from the sale of marketable securities are determined based on the specific identification method. Realized gains and losses are reported in interest income and other, net in the consolidated statements of operations.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Level 2—Observable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4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Financial instruments consist of cash equivalents, restricted cash, marketable securities, accounts receivable, and accounts payable. Cash equivalents, restricted cash, and marketable securities are stated at fair value on a recurring basis. Accounts receivable and accounts payable are stated at their carrying value, which approximates fair value due to the short time to the expected receipt or payment date.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Property and equipment, net, are stated at cost, less accumulated depreciation and amortization. Depreciation and amortization are calculated using the straight-line method over the estimated useful lives of the respective assets, determined to be three to five years. Leasehold improvements are amortized over the shorter of the remaining lease term or the estimated useful life of five years. Expenditures for maintenance and repairs are expensed as incurred. Significant improvements and betterments that substantially enhance the life of an asset are capitalized.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capitalize certain development costs related to our unified communications platform during the application development stage as long as it is probable the project will be completed, and the software will be used to perform the function intended. Capitalized software development costs are recorded as part of property and equipment, net. Costs related to preliminary project activities and post-implementation activities are expensed as incurred. Capitalized software development costs are amortized on a straight-line basis over the software’s estimated useful life, which is generally three years, and are recorded in cost of revenue in the consolidated statements of operations. We evaluate the useful lives of these assets on an annual basis and test for impairment whenever events or changes in circumstances occur that could impact the recoverability of these assets. We have capitalized $19.4 million, $3.1 million, and $2.5 million of software development costs during the fiscal years ended January 31, 2021, 2020, and 2019, respectively.</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We adopted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applicable updates as of February 1, 2019, using the modified retrospective method of applying the new standard at the adoption date. Prior year comparative financial information was not recast under the new standard and continues to be presented under Accounting Standards Codification (“ASC”) 840.</w:t>
      </w:r>
    </w:p>
    <w:p>
      <w:pPr>
        <w:spacing w:after="0" w:line="76"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All lease arrangements are generally recognized at lease commencement. Operating lease right-of-use (“ROU”) assets and operating lease liabilities are recognized at commencement. For short-term leases (an initial term of 12 months or less), an ROU asset and corresponding lease liability are not recorded and we record rent expense in our consolidated statements of operations on a straight-line basis over the lease term and record variable lease payments as incurred. ROU assets represent our right to use an underlying asset during the reasonably certain lease term, and lease liabilities represent our obligation to make lease payments arising from the lease. Our lease terms may include options to extend or terminate the lease when it is reasonably certain that we will exercise that option. Operating lease ROU assets and liabilities are recognized at the commencement date based on the present value of fixed payments not yet paid over the lease term. We use our incremental borrowing rate based on the information available at the commencement date in determining the lease liabilities as our leases generally do not provide an implicit rate. Our incremental borrowing rate is estimated to approximate the interest rate on a collateralized basis with similar terms and payments, in an economic environment where the leased asset is located. ROU assets also include any initial direct costs incurred and any lease payments made at or before the lease commencement date, less lease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incentives received. We reassess the lease term if and when a significant event or change in circumstances occurs within our control. We currently do not have any finance leases.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evaluate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January 31, 2021, 2020, or 2019.</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account for our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we make estimates and assumptions, especially with respect to intangible assets. Our estimates of fair value are based upon assumptions believed to be reasonable, but which are inherently uncertain and unpredictable and, as a result, actual results may differ from estimates. During the measurement period, not to exceed one year from the date of acquisition, we may record adjustments to the assets acquired and liabilities assumed, with a corresponding offset to goodwill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spacing w:after="0" w:line="7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Uncertain tax positions and tax-related valuation allowances are initially established in connection with a business combination as of the acquisition date. We continue to collect information and reevaluate these estimates and assumptions quarterly. We will record any adjustments to our preliminary estimates to goodwill, provided that it is within the one-year measurement period.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Goodwill amounts are not amortized, but rather tested for impairment at least annually or more often if circumstances indicate that the carrying value may not be recoverable. Goodwill is considered impaired if the carrying value of the reporting unit exceeds its fair value. We have one reporting unit and as a result, goodwill has been assigned to the single reporting unit. We conducted our annual impairment test of goodwill in the fourth quarter of fiscal year 2021 and determined that no adjustment to the carrying value of goodwill was required.</w:t>
      </w:r>
    </w:p>
    <w:p>
      <w:pPr>
        <w:spacing w:after="0" w:line="7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Intangible assets consist of acquired identifiable intangible assets resulting from business combinations, as well as other intangible assets purchased outside of a business combination, such as domains and intellectual property addresses. Finite-lived intangible assets are initially recorded at fair value and are amortized on a straight-line basis over their estimated useful lives. Amortization expense of developed technology is recorded within cost of revenue in the consolidated statements of operations. We routinely evaluate the estimated remaining useful lives of our finite-lived intangible assets and whether events or changes in circumstances warrant a revision to the remaining period of amortization. Indefinite-lived intangible assets are recorded at fair value and are not amortized. We review the useful lives of indefinite-lived intangible assets each reporting period to determine whether events and circumstances continue to support the indefinite useful life classification. If we determine that the life of an intangible asset is no longer indefinite, that asset would be tested for impairment and amortized prospectively over its estimated remaining useful life. There were no impairment charges to acquired intangible assets during the fiscal year ended January 31, 2021.</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derive our revenue primarily from subscription agreements with customers for access to our unified communications platform and services. We also provide other services, which include professional services, consulting services, and online event hosting, which were immaterial to our consolidated financial statements. Revenue is recognized when a customer obtains control of promised services. The amount of revenue recognized reflects the consideration that we expect to receive in exchange for these services. We determine revenue recognition through the following steps: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Identification of the contract, or contracts, with the customer</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9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Identification of the performance obligations in the contract</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or products is separately identifiable from other promises in the contract. Promised services or products under which both of these two criteria are not met are recognized as a combined, single performance obligation. Our performance obligations primarily relate to access to our unified communications platform, which consists of one or more software-based services. Our customers do not have the ability to take possession of our software, and through access to our platform, we provide a series of distinct software-based services that are satisfied over the term of the subscription.</w:t>
      </w:r>
    </w:p>
    <w:p>
      <w:pPr>
        <w:spacing w:after="0" w:line="177"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the transaction price</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6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unified communications platform and related services are typically warranted to perform in a professional manner that will comply with the terms of the subscription agreements. In addition, we include service-level commitments to our customers warranting certain levels of uptime reliability and performance and permitting those customers to receive credits in the event that we fail to meet those service levels. These credits represent a form of variable consideration. We have not provided any material refunds related to these agreements in the consolidated financial statements during the periods presented.</w:t>
      </w:r>
    </w:p>
    <w:p>
      <w:pPr>
        <w:spacing w:after="0" w:line="188"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Allocation of the transaction price to the performance obligations in the contract</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 Our contracts with multiple performance obligations are generally sold over the same subscription term and have the same pattern of transfer to the customer, and so they are accounted for as one combined performance obligation in the context of the contract. Accordingly, the transaction price is allocated to this single performance obligation.</w:t>
      </w:r>
    </w:p>
    <w:p>
      <w:pPr>
        <w:spacing w:after="0" w:line="18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i w:val="1"/>
          <w:iCs w:val="1"/>
          <w:color w:val="auto"/>
        </w:rPr>
      </w:pPr>
      <w:r>
        <w:rPr>
          <w:rFonts w:ascii="Arial" w:cs="Arial" w:eastAsia="Arial" w:hAnsi="Arial"/>
          <w:sz w:val="18"/>
          <w:szCs w:val="18"/>
          <w:i w:val="1"/>
          <w:iCs w:val="1"/>
          <w:color w:val="auto"/>
        </w:rPr>
        <w:t>Recognition of the revenue when, or as, a performance obligation is satisfied</w:t>
      </w:r>
    </w:p>
    <w:p>
      <w:pPr>
        <w:spacing w:after="0" w:line="117"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unified communications platform and related services are subscription revenue and are considered one performance obligation, and the related revenue is recognized ratably over the subscription period as we satisfy the performance obligation.</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Professional services are time-based arrangements and revenue is recognized as these services are performed. Fees for services represent less than 2% of total revenue during the periods presented.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Cost of revenue primarily consists of costs related to hosting our unified communications platform and providing general operating support services to our customers. These costs are composed of co-located data center costs, third-party cloud hosting costs, integrated third-party PSTN services, personnel-related expenses, amortization of capitalized software development costs and acquired intangible assets, royalty payments, and allocated overhead costs. Indirect overhead costs associated with corporate facilities and related depreciation is allocated to cost of revenue and operating expenses based on applicable headcount.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Research and development costs include personnel-related expenses associated with our engineering personnel and consultants responsible for the design, development, and testing of our unified communications platform, depreciation of equipment used in research and development, and allocated overhead costs. Research and development costs are expensed as incurred.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Advertising costs are expensed as incurred in sales and marketing expense and amounted to $34.8 million, $42.0 million, and $36.1 million for the fiscal years ended January 31, 2021, 2020, and 2019,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Stock-based compensation expense related to stock awards (including stock options, restricted stock awards (“RSAs”), RSUs, and ESPP) is measured based on the fair value of the awards granted and recognized as an expense on a straight-line basis over the requisite service period.</w:t>
      </w:r>
    </w:p>
    <w:p>
      <w:pPr>
        <w:spacing w:after="0" w:line="3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fair value of each option and ESPP award is estimated on the grant date using the Black-Scholes option pricing model. The Black-Scholes option pricing model requires the input of highly subjective assumptions, including the fair value of the underlying common stock, the expected term of the award, the expected volatility of the price of our common stock, risk-free interest rates, and the expected dividend yield of our common stock.</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fair value of each RSA and RSU award is based on the fair value of the underlying common stock as of the grant date.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assumptions used to determine the fair value of the stock awards represent management’s best estimates. These estimates involve inherent uncertainties and the application of management’s judgment. We account for forfeitures as they occur instead of estimating the number of awards expected to be forfeited.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related gains and losses have been immaterial during the periods presented.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use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w:t>
      </w:r>
    </w:p>
    <w:p>
      <w:pPr>
        <w:spacing w:after="0" w:line="7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Deferred tax assets are evaluated for future realization and reduced by a valuation allowance to the extent we believe it is more likely than not that they will not be realized. We consider all available positive and negative evidence, including future reversals of existing taxable temporary differences, projected future taxable income, tax-planning strategies, carryback potential if permitted under the tax law, and results of recent operations.</w:t>
      </w:r>
    </w:p>
    <w:p>
      <w:pPr>
        <w:spacing w:after="0" w:line="4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 xml:space="preserve">We record uncertain tax positions in accordance with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 We consider many factors when evaluating our uncertain tax positions, which involve significant judgment and may require periodic adjustments. The resolution of these uncertain tax positions in a manner inconsistent with management's expectations could have a material impact on our consolidated financial statements. We recognize interest and penalties related to uncertain tax positions as a component of our provision for income taxes. Accrued interest and penalties are included with the related tax liability.</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Net Income Per Share Attributable to Common Stockholders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calculate our net income per share attributable to Class A and Class B common stock using the two-class method required for companies with participating securities. We consider our convertible preferred stock and unvested common stock,</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which includes early exercised stock options and RSAs, to be participating securities as holders of such securities have non-forfeitable dividend rights in the event of our declaration of a dividend for shares of common stock.</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Distributed and undistributed earnings allocated to participating securities are subtracted from net income in determining net income attributable to common stockholders. Basic net income per share is computed by dividing net income attributable to common stockholders by the weighted-average number of shares of our Class A and Class B common stock outstanding.</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We operate in one operating segment. Operating segments are defined as components of an enterprise about which separate financial information is evaluated regularly by the chief operating decision maker, who is our Chief Executive Officer (“CEO”), in deciding how to allocate resources and assessing performance. Our chief operating decision maker allocates resources and assesses performance based upon consolidated financial information.</w:t>
      </w:r>
    </w:p>
    <w:p>
      <w:pPr>
        <w:spacing w:after="0" w:line="4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Revenue by geographical region can be found in the revenue recognition disclosures in Note 2 below. The following table presents our property and equipment, net of depreciation and amortization, by geographic region:</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January 31,</w:t>
            </w:r>
          </w:p>
        </w:tc>
        <w:tc>
          <w:tcPr>
            <w:tcW w:w="1140" w:type="dxa"/>
            <w:vAlign w:val="bottom"/>
            <w:tcBorders>
              <w:bottom w:val="single" w:sz="8" w:color="auto"/>
            </w:tcBorders>
          </w:tcPr>
          <w:p>
            <w:pPr>
              <w:spacing w:after="0"/>
              <w:rPr>
                <w:sz w:val="16"/>
                <w:szCs w:val="16"/>
                <w:color w:val="auto"/>
              </w:rPr>
            </w:pPr>
          </w:p>
        </w:tc>
      </w:tr>
      <w:tr>
        <w:trPr>
          <w:trHeight w:val="187"/>
        </w:trPr>
        <w:tc>
          <w:tcPr>
            <w:tcW w:w="760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18"/>
        </w:trPr>
        <w:tc>
          <w:tcPr>
            <w:tcW w:w="7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(in thousands)</w:t>
            </w:r>
          </w:p>
        </w:tc>
        <w:tc>
          <w:tcPr>
            <w:tcW w:w="1140" w:type="dxa"/>
            <w:vAlign w:val="bottom"/>
          </w:tcPr>
          <w:p>
            <w:pPr>
              <w:spacing w:after="0"/>
              <w:rPr>
                <w:sz w:val="18"/>
                <w:szCs w:val="18"/>
                <w:color w:val="auto"/>
              </w:rPr>
            </w:pPr>
          </w:p>
        </w:tc>
      </w:tr>
      <w:tr>
        <w:trPr>
          <w:trHeight w:val="235"/>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138,093</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48,519</w:t>
            </w: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APAC</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10,033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7,464</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r>
      <w:tr>
        <w:trPr>
          <w:trHeight w:val="223"/>
        </w:trPr>
        <w:tc>
          <w:tcPr>
            <w:tcW w:w="7600" w:type="dxa"/>
            <w:vAlign w:val="bottom"/>
          </w:tcPr>
          <w:p>
            <w:pPr>
              <w:ind w:left="240"/>
              <w:spacing w:after="0"/>
              <w:rPr>
                <w:sz w:val="20"/>
                <w:szCs w:val="20"/>
                <w:color w:val="auto"/>
              </w:rPr>
            </w:pPr>
            <w:r>
              <w:rPr>
                <w:rFonts w:ascii="Arial" w:cs="Arial" w:eastAsia="Arial" w:hAnsi="Arial"/>
                <w:sz w:val="18"/>
                <w:szCs w:val="18"/>
                <w:color w:val="auto"/>
              </w:rPr>
              <w:t>Total property and equipment, net</w:t>
            </w: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149,924</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57,138</w:t>
            </w:r>
          </w:p>
        </w:tc>
      </w:tr>
      <w:tr>
        <w:trPr>
          <w:trHeight w:val="21"/>
        </w:trPr>
        <w:tc>
          <w:tcPr>
            <w:tcW w:w="7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In June 2016, the Financial Accounting Standards Board (“FASB”) issued ASU No. 2016-13,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which was subsequently amended by ASU No. 2018-19,</w:t>
      </w:r>
      <w:r>
        <w:rPr>
          <w:rFonts w:ascii="Arial" w:cs="Arial" w:eastAsia="Arial" w:hAnsi="Arial"/>
          <w:sz w:val="16"/>
          <w:szCs w:val="16"/>
          <w:i w:val="1"/>
          <w:iCs w:val="1"/>
          <w:color w:val="auto"/>
        </w:rPr>
        <w:t xml:space="preserve"> Codification Improvements to Topic 326, Financial Instruments—Credit Losses</w:t>
      </w:r>
      <w:r>
        <w:rPr>
          <w:rFonts w:ascii="Arial" w:cs="Arial" w:eastAsia="Arial" w:hAnsi="Arial"/>
          <w:sz w:val="16"/>
          <w:szCs w:val="16"/>
          <w:color w:val="auto"/>
        </w:rPr>
        <w:t>, in November 2018. Subsequently, the FASB issued ASU No. 2019-04, ASU No. 2019-05, ASU No. 2019-10, and</w:t>
      </w:r>
      <w:r>
        <w:rPr>
          <w:rFonts w:ascii="Arial" w:cs="Arial" w:eastAsia="Arial" w:hAnsi="Arial"/>
          <w:sz w:val="16"/>
          <w:szCs w:val="16"/>
          <w:i w:val="1"/>
          <w:iCs w:val="1"/>
          <w:color w:val="auto"/>
        </w:rPr>
        <w:t xml:space="preserve"> </w:t>
      </w:r>
      <w:r>
        <w:rPr>
          <w:rFonts w:ascii="Arial" w:cs="Arial" w:eastAsia="Arial" w:hAnsi="Arial"/>
          <w:sz w:val="16"/>
          <w:szCs w:val="16"/>
          <w:color w:val="auto"/>
        </w:rPr>
        <w:t>ASU No. 2019-11 to provide additional guidance on the credit losses standard. ASU No. 2016-13 and the related updates replace the existing incurred loss impairment model with an expected credit loss model, and requires a financial asset measured at amortized cost to be presented at the net amount expected to be collected. We adopted the standard as of February 1, 2020, using the modified retrospective method of applying the new standard at the adoption date. Our adoption did not result in any cumulative effect adjustment in our consolidated financial statements upon adoption as of February 1, 2020.</w:t>
      </w:r>
    </w:p>
    <w:p>
      <w:pPr>
        <w:spacing w:after="0" w:line="58"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w:t>
      </w:r>
      <w:r>
        <w:rPr>
          <w:rFonts w:ascii="Arial" w:cs="Arial" w:eastAsia="Arial" w:hAnsi="Arial"/>
          <w:sz w:val="16"/>
          <w:szCs w:val="16"/>
          <w:color w:val="auto"/>
        </w:rPr>
        <w:t>. The amendment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(and hosting arrangements that include an internal-use software license). We adopted ASU No. 2018-15, prospectively, as of February 1, 2020, and our adoption did not have a material impact on the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Revenue Recognition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revenue by region based on the billing address of customers: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January 31,</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8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6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98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30"/>
        </w:trPr>
        <w:tc>
          <w:tcPr>
            <w:tcW w:w="3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ind w:right="122"/>
              <w:spacing w:after="0" w:line="130" w:lineRule="exact"/>
              <w:rPr>
                <w:sz w:val="20"/>
                <w:szCs w:val="20"/>
                <w:color w:val="auto"/>
              </w:rPr>
            </w:pPr>
            <w:r>
              <w:rPr>
                <w:rFonts w:ascii="Arial" w:cs="Arial" w:eastAsia="Arial" w:hAnsi="Arial"/>
                <w:sz w:val="14"/>
                <w:szCs w:val="14"/>
                <w:b w:val="1"/>
                <w:bCs w:val="1"/>
                <w:color w:val="auto"/>
              </w:rPr>
              <w:t>Percentage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right"/>
              <w:ind w:right="102"/>
              <w:spacing w:after="0" w:line="130" w:lineRule="exact"/>
              <w:rPr>
                <w:sz w:val="20"/>
                <w:szCs w:val="20"/>
                <w:color w:val="auto"/>
              </w:rPr>
            </w:pPr>
            <w:r>
              <w:rPr>
                <w:rFonts w:ascii="Arial" w:cs="Arial" w:eastAsia="Arial" w:hAnsi="Arial"/>
                <w:sz w:val="14"/>
                <w:szCs w:val="14"/>
                <w:b w:val="1"/>
                <w:bCs w:val="1"/>
                <w:color w:val="auto"/>
              </w:rPr>
              <w:t>Percentage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right"/>
              <w:ind w:right="122"/>
              <w:spacing w:after="0" w:line="130"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18"/>
        </w:trPr>
        <w:tc>
          <w:tcPr>
            <w:tcW w:w="3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1"/>
              </w:rPr>
              <w:t>(in thousands, except percentages)</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1,831,694</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500,622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270,132</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APAC</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332,844</w:t>
            </w:r>
          </w:p>
        </w:tc>
        <w:tc>
          <w:tcPr>
            <w:tcW w:w="1360" w:type="dxa"/>
            <w:vAlign w:val="bottom"/>
            <w:gridSpan w:val="3"/>
          </w:tcPr>
          <w:p>
            <w:pPr>
              <w:jc w:val="right"/>
              <w:ind w:right="14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51,152</w:t>
            </w:r>
          </w:p>
        </w:tc>
        <w:tc>
          <w:tcPr>
            <w:tcW w:w="1360" w:type="dxa"/>
            <w:vAlign w:val="bottom"/>
            <w:gridSpan w:val="3"/>
          </w:tcPr>
          <w:p>
            <w:pPr>
              <w:jc w:val="right"/>
              <w:ind w:right="14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27,720</w:t>
            </w:r>
          </w:p>
        </w:tc>
        <w:tc>
          <w:tcPr>
            <w:tcW w:w="1360" w:type="dxa"/>
            <w:vAlign w:val="bottom"/>
            <w:gridSpan w:val="3"/>
          </w:tcPr>
          <w:p>
            <w:pPr>
              <w:jc w:val="right"/>
              <w:ind w:right="14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EMEA</w:t>
            </w: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486,830</w:t>
            </w:r>
          </w:p>
        </w:tc>
        <w:tc>
          <w:tcPr>
            <w:tcW w:w="136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70,884</w:t>
            </w:r>
          </w:p>
        </w:tc>
        <w:tc>
          <w:tcPr>
            <w:tcW w:w="136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32,665</w:t>
            </w:r>
          </w:p>
        </w:tc>
        <w:tc>
          <w:tcPr>
            <w:tcW w:w="1360" w:type="dxa"/>
            <w:vAlign w:val="bottom"/>
            <w:gridSpan w:val="3"/>
            <w:shd w:val="clear" w:color="auto" w:fill="CCEEFF"/>
          </w:tcPr>
          <w:p>
            <w:pPr>
              <w:jc w:val="right"/>
              <w:ind w:right="14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2,651,368</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622,658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330,517</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of allowances in the consolidated balance sheets was $24.6 million and $12.5 million as of January 31, 2021 and 2020, respectively.</w:t>
      </w:r>
    </w:p>
    <w:p>
      <w:pPr>
        <w:spacing w:after="0" w:line="4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Contract liabilities consist of deferred revenue. Revenue is deferred when we have the right to invoice in advance of performance under a customer contract. The current portion of deferred revenue balances is recognized over the next 12 months. The amount of revenue recognized during the fiscal years ended January 31, 2021, 2020, and 2019 that was included in deferred revenue at the beginning of each period was $222.0 million, $119.1 million, and $50.3 million, respectively.</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Remaining Performance Obligation</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terms of our subscription agreements are monthly, annual, and multiyear and we may bill for the full term in advance or on an annual, quarterly, or monthly basis, depending on the billing terms with customers. As of January 31, 2021, the aggregate amount of the transaction price allocated to our remaining performance obligations was $1,750.9 million, which consists of both billed consideration in the amount of $883.5 million and unbilled consideration in the amount of $867.4 million that we expect to recognize as revenue. We expect to recognize 70% of our remaining performance obligations as revenue over the next 12 months and the remainder thereafter.</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to Obtain a Contract</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primarily capitalize sales commissions and associated payroll taxes paid to internal sales personnel that are incremental costs from the acquisition of customer contracts. These costs are recorded as deferred contract acquisition costs in the consolidated balance sheets. We determine whether costs should be deferred based on our sales compensation plans and if the commissions are incremental and would not have occurred absent the customer contract.</w:t>
      </w:r>
    </w:p>
    <w:p>
      <w:pPr>
        <w:spacing w:after="0" w:line="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Sales commissions paid upon the initial acquisition of a customer contract are amortized over an estimated period of benefit of three years, which is typically greater than the contractual terms of the customer contracts.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unified communications platform and related significant features. Amortization of deferred contract acquisition costs is included in sales and marketing expense in the consolidated statements of operations.</w:t>
      </w:r>
    </w:p>
    <w:p>
      <w:pPr>
        <w:spacing w:after="0" w:line="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periodically review these deferred contract acquisition costs to determine whether events or changes in circumstances have occurred that could impact the period of benefit. There were no impairment losses recorded during the periods presented.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represents a rollforward of deferred contract acquisition costs: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8"/>
          </w:tcPr>
          <w:p>
            <w:pPr>
              <w:jc w:val="center"/>
              <w:ind w:right="620"/>
              <w:spacing w:after="0"/>
              <w:rPr>
                <w:sz w:val="20"/>
                <w:szCs w:val="20"/>
                <w:color w:val="auto"/>
              </w:rPr>
            </w:pPr>
            <w:r>
              <w:rPr>
                <w:rFonts w:ascii="Arial" w:cs="Arial" w:eastAsia="Arial" w:hAnsi="Arial"/>
                <w:sz w:val="14"/>
                <w:szCs w:val="14"/>
                <w:b w:val="1"/>
                <w:bCs w:val="1"/>
                <w:color w:val="auto"/>
                <w:w w:val="93"/>
              </w:rPr>
              <w:t>Year Ended January 31,</w:t>
            </w:r>
          </w:p>
        </w:tc>
        <w:tc>
          <w:tcPr>
            <w:tcW w:w="0" w:type="dxa"/>
            <w:vAlign w:val="bottom"/>
          </w:tcPr>
          <w:p>
            <w:pPr>
              <w:spacing w:after="0"/>
              <w:rPr>
                <w:sz w:val="1"/>
                <w:szCs w:val="1"/>
                <w:color w:val="auto"/>
              </w:rPr>
            </w:pPr>
          </w:p>
        </w:tc>
      </w:tr>
      <w:tr>
        <w:trPr>
          <w:trHeight w:val="187"/>
        </w:trPr>
        <w:tc>
          <w:tcPr>
            <w:tcW w:w="5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6"/>
          </w:tcPr>
          <w:p>
            <w:pPr>
              <w:jc w:val="center"/>
              <w:ind w:left="397"/>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91,130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87"/>
              </w:rPr>
              <w:t>55,516</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360"/>
              <w:spacing w:after="0"/>
              <w:rPr>
                <w:sz w:val="20"/>
                <w:szCs w:val="20"/>
                <w:color w:val="auto"/>
              </w:rPr>
            </w:pPr>
            <w:r>
              <w:rPr>
                <w:rFonts w:ascii="Arial" w:cs="Arial" w:eastAsia="Arial" w:hAnsi="Arial"/>
                <w:sz w:val="18"/>
                <w:szCs w:val="18"/>
                <w:color w:val="auto"/>
              </w:rPr>
              <w:t>Additions to deferred contract acquisition costs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307,068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center"/>
              <w:ind w:left="415"/>
              <w:spacing w:after="0"/>
              <w:rPr>
                <w:sz w:val="20"/>
                <w:szCs w:val="20"/>
                <w:color w:val="auto"/>
              </w:rPr>
            </w:pPr>
            <w:r>
              <w:rPr>
                <w:rFonts w:ascii="Arial" w:cs="Arial" w:eastAsia="Arial" w:hAnsi="Arial"/>
                <w:sz w:val="18"/>
                <w:szCs w:val="18"/>
                <w:color w:val="auto"/>
                <w:w w:val="87"/>
              </w:rPr>
              <w:t>72,715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contract acquisition costs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(104,306)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center"/>
              <w:ind w:left="355"/>
              <w:spacing w:after="0"/>
              <w:rPr>
                <w:sz w:val="20"/>
                <w:szCs w:val="20"/>
                <w:color w:val="auto"/>
              </w:rPr>
            </w:pPr>
            <w:r>
              <w:rPr>
                <w:rFonts w:ascii="Arial" w:cs="Arial" w:eastAsia="Arial" w:hAnsi="Arial"/>
                <w:sz w:val="18"/>
                <w:szCs w:val="18"/>
                <w:color w:val="auto"/>
                <w:w w:val="92"/>
              </w:rPr>
              <w:t>(37,101)</w:t>
            </w:r>
          </w:p>
        </w:tc>
        <w:tc>
          <w:tcPr>
            <w:tcW w:w="0" w:type="dxa"/>
            <w:vAlign w:val="bottom"/>
          </w:tcPr>
          <w:p>
            <w:pPr>
              <w:spacing w:after="0"/>
              <w:rPr>
                <w:sz w:val="1"/>
                <w:szCs w:val="1"/>
                <w:color w:val="auto"/>
              </w:rPr>
            </w:pPr>
          </w:p>
        </w:tc>
      </w:tr>
      <w:tr>
        <w:trPr>
          <w:trHeight w:val="223"/>
        </w:trPr>
        <w:tc>
          <w:tcPr>
            <w:tcW w:w="55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293,892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415"/>
              <w:spacing w:after="0"/>
              <w:rPr>
                <w:sz w:val="20"/>
                <w:szCs w:val="20"/>
                <w:color w:val="auto"/>
              </w:rPr>
            </w:pPr>
            <w:r>
              <w:rPr>
                <w:rFonts w:ascii="Arial" w:cs="Arial" w:eastAsia="Arial" w:hAnsi="Arial"/>
                <w:sz w:val="18"/>
                <w:szCs w:val="18"/>
                <w:color w:val="auto"/>
                <w:w w:val="87"/>
              </w:rPr>
              <w:t>91,130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Deferred contract acquisition costs, current (to be amortized in next 12 months)</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87"/>
              </w:rPr>
              <w:t>44,885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contract acquisition costs, noncurrent</w:t>
            </w: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157,262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415"/>
              <w:spacing w:after="0"/>
              <w:rPr>
                <w:sz w:val="20"/>
                <w:szCs w:val="20"/>
                <w:color w:val="auto"/>
              </w:rPr>
            </w:pPr>
            <w:r>
              <w:rPr>
                <w:rFonts w:ascii="Arial" w:cs="Arial" w:eastAsia="Arial" w:hAnsi="Arial"/>
                <w:sz w:val="18"/>
                <w:szCs w:val="18"/>
                <w:color w:val="auto"/>
                <w:w w:val="87"/>
              </w:rPr>
              <w:t>46,245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contract acquisition costs</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293,892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center"/>
              <w:ind w:left="415"/>
              <w:spacing w:after="0"/>
              <w:rPr>
                <w:sz w:val="20"/>
                <w:szCs w:val="20"/>
                <w:color w:val="auto"/>
              </w:rPr>
            </w:pPr>
            <w:r>
              <w:rPr>
                <w:rFonts w:ascii="Arial" w:cs="Arial" w:eastAsia="Arial" w:hAnsi="Arial"/>
                <w:sz w:val="18"/>
                <w:szCs w:val="18"/>
                <w:color w:val="auto"/>
                <w:w w:val="87"/>
              </w:rPr>
              <w:t>91,130</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3.  Marketable Securities</w:t>
            </w: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5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20" w:type="dxa"/>
            <w:vAlign w:val="bottom"/>
            <w:gridSpan w:val="4"/>
          </w:tcPr>
          <w:p>
            <w:pPr>
              <w:ind w:left="500"/>
              <w:spacing w:after="0"/>
              <w:rPr>
                <w:sz w:val="20"/>
                <w:szCs w:val="20"/>
                <w:color w:val="auto"/>
              </w:rPr>
            </w:pPr>
            <w:r>
              <w:rPr>
                <w:rFonts w:ascii="Arial" w:cs="Arial" w:eastAsia="Arial" w:hAnsi="Arial"/>
                <w:sz w:val="18"/>
                <w:szCs w:val="18"/>
                <w:color w:val="auto"/>
                <w:w w:val="94"/>
              </w:rPr>
              <w:t>As of January 31, 2021 and 2020, our marketable securities consisted of the following:</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As of January 31, 2021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940" w:type="dxa"/>
            <w:vAlign w:val="bottom"/>
          </w:tcPr>
          <w:p>
            <w:pPr>
              <w:jc w:val="center"/>
              <w:ind w:left="17"/>
              <w:spacing w:after="0" w:line="135"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92"/>
              </w:rPr>
              <w:t>Estimated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940" w:type="dxa"/>
            <w:vAlign w:val="bottom"/>
          </w:tcPr>
          <w:p>
            <w:pPr>
              <w:jc w:val="center"/>
              <w:ind w:left="37"/>
              <w:spacing w:after="0" w:line="135"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spacing w:after="0"/>
              <w:rPr>
                <w:sz w:val="20"/>
                <w:szCs w:val="20"/>
                <w:color w:val="auto"/>
              </w:rPr>
            </w:pPr>
          </w:p>
        </w:tc>
        <w:tc>
          <w:tcPr>
            <w:tcW w:w="36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461,335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461,365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834,894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834,665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2,003,560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2,004,410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0"/>
        </w:trPr>
        <w:tc>
          <w:tcPr>
            <w:tcW w:w="5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As of January 31, 2020</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940" w:type="dxa"/>
            <w:vAlign w:val="bottom"/>
          </w:tcPr>
          <w:p>
            <w:pPr>
              <w:jc w:val="center"/>
              <w:ind w:left="17"/>
              <w:spacing w:after="0" w:line="135"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92"/>
              </w:rPr>
              <w:t>Estimated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1"/>
                <w:szCs w:val="11"/>
                <w:color w:val="auto"/>
              </w:rPr>
            </w:pPr>
          </w:p>
        </w:tc>
        <w:tc>
          <w:tcPr>
            <w:tcW w:w="940" w:type="dxa"/>
            <w:vAlign w:val="bottom"/>
          </w:tcPr>
          <w:p>
            <w:pPr>
              <w:jc w:val="center"/>
              <w:ind w:left="37"/>
              <w:spacing w:after="0" w:line="135"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8"/>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3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spacing w:after="0"/>
              <w:rPr>
                <w:sz w:val="20"/>
                <w:szCs w:val="20"/>
                <w:color w:val="auto"/>
              </w:rPr>
            </w:pPr>
          </w:p>
        </w:tc>
        <w:tc>
          <w:tcPr>
            <w:tcW w:w="360" w:type="dxa"/>
            <w:vAlign w:val="bottom"/>
            <w:gridSpan w:val="4"/>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141,157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141,163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 debt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320,407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71,794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571,252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572,060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review the individual securities that have unrealized losses on a regular basis to evaluate whether or not any security has experienced, or is expected to experience, credit losses resulting in the decline in fair value. We evaluate, among other factors, whether we have the intention to sell any of these marketable securities and whether it is more likely than not that we will be required to sell any of them before recovery of the amortized cost basis. We have not recorded an allowance for credit losses, as we believe any such losses would be immaterial based on the high-grade credit rating for each of our marketable securities as of the end of each fiscal year. There were no material realized gains or losses from available-for-sale securities that were reclassified out of accumulated other comprehensive income for the fiscal years ended January 31, 2021, 2020, and 2019.</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contractual maturities of our marketable securities as of January 31, 2021 and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 January 31,</w:t>
            </w:r>
          </w:p>
        </w:tc>
        <w:tc>
          <w:tcPr>
            <w:tcW w:w="1060" w:type="dxa"/>
            <w:vAlign w:val="bottom"/>
            <w:tcBorders>
              <w:bottom w:val="single" w:sz="8" w:color="auto"/>
            </w:tcBorders>
          </w:tcPr>
          <w:p>
            <w:pPr>
              <w:spacing w:after="0"/>
              <w:rPr>
                <w:sz w:val="16"/>
                <w:szCs w:val="16"/>
                <w:color w:val="auto"/>
              </w:rPr>
            </w:pPr>
          </w:p>
        </w:tc>
      </w:tr>
      <w:tr>
        <w:trPr>
          <w:trHeight w:val="187"/>
        </w:trPr>
        <w:tc>
          <w:tcPr>
            <w:tcW w:w="78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18"/>
        </w:trPr>
        <w:tc>
          <w:tcPr>
            <w:tcW w:w="7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8"/>
                <w:szCs w:val="18"/>
                <w:color w:val="auto"/>
              </w:rPr>
            </w:pPr>
          </w:p>
        </w:tc>
      </w:tr>
      <w:tr>
        <w:trPr>
          <w:trHeight w:val="236"/>
        </w:trPr>
        <w:tc>
          <w:tcPr>
            <w:tcW w:w="7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than one year</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1,017,048</w:t>
            </w:r>
          </w:p>
        </w:tc>
        <w:tc>
          <w:tcPr>
            <w:tcW w:w="12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315,900</w:t>
            </w:r>
          </w:p>
        </w:tc>
      </w:tr>
      <w:tr>
        <w:trPr>
          <w:trHeight w:val="229"/>
        </w:trPr>
        <w:tc>
          <w:tcPr>
            <w:tcW w:w="780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Due in one to five years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987,362</w:t>
            </w: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256,160</w:t>
            </w:r>
          </w:p>
        </w:tc>
      </w:tr>
      <w:tr>
        <w:trPr>
          <w:trHeight w:val="248"/>
        </w:trPr>
        <w:tc>
          <w:tcPr>
            <w:tcW w:w="78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2,004,410</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572,060</w:t>
            </w:r>
          </w:p>
        </w:tc>
      </w:tr>
      <w:tr>
        <w:trPr>
          <w:trHeight w:val="20"/>
        </w:trPr>
        <w:tc>
          <w:tcPr>
            <w:tcW w:w="780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8"/>
          <w:szCs w:val="18"/>
          <w:color w:val="auto"/>
        </w:rPr>
        <w:t>The following tables present information about our financial instruments that are measured at fair value on a recurring basis and indicate the fair value hierarchy of the valuation inputs utilized to determine such fair value:</w:t>
      </w: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As of January 31, 2021</w:t>
            </w: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187"/>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8"/>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5"/>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958,357</w:t>
            </w:r>
          </w:p>
        </w:tc>
        <w:tc>
          <w:tcPr>
            <w:tcW w:w="20" w:type="dxa"/>
            <w:vAlign w:val="bottom"/>
          </w:tcPr>
          <w:p>
            <w:pPr>
              <w:spacing w:after="0"/>
              <w:rPr>
                <w:sz w:val="19"/>
                <w:szCs w:val="19"/>
                <w:color w:val="auto"/>
              </w:rPr>
            </w:pP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958,357</w:t>
            </w:r>
          </w:p>
        </w:tc>
        <w:tc>
          <w:tcPr>
            <w:tcW w:w="20" w:type="dxa"/>
            <w:vAlign w:val="bottom"/>
          </w:tcPr>
          <w:p>
            <w:pPr>
              <w:spacing w:after="0"/>
              <w:rPr>
                <w:sz w:val="19"/>
                <w:szCs w:val="19"/>
                <w:color w:val="auto"/>
              </w:rPr>
            </w:pPr>
          </w:p>
        </w:tc>
        <w:tc>
          <w:tcPr>
            <w:tcW w:w="50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14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618,498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618,498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Cash equivalents</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1,576,855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958,357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618,498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461,365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461,365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 debt securities</w:t>
            </w:r>
          </w:p>
        </w:tc>
        <w:tc>
          <w:tcPr>
            <w:tcW w:w="1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834,665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834,665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bills</w:t>
            </w:r>
          </w:p>
        </w:tc>
        <w:tc>
          <w:tcPr>
            <w:tcW w:w="14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215,902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215,902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2,004,410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2,004,410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Certificate of deposit included in prepaid expenses and other current assets</w:t>
            </w:r>
          </w:p>
        </w:tc>
        <w:tc>
          <w:tcPr>
            <w:tcW w:w="14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Certificates of deposit included in other assets, noncurrent</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 included in other assets, noncurrent</w:t>
            </w:r>
          </w:p>
        </w:tc>
        <w:tc>
          <w:tcPr>
            <w:tcW w:w="14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40" w:type="dxa"/>
            <w:vAlign w:val="bottom"/>
            <w:tcBorders>
              <w:bottom w:val="single" w:sz="8" w:color="auto"/>
            </w:tcBorders>
            <w:shd w:val="clear" w:color="auto" w:fill="CCEEFF"/>
          </w:tcPr>
          <w:p>
            <w:pPr>
              <w:spacing w:after="0"/>
              <w:rPr>
                <w:sz w:val="19"/>
                <w:szCs w:val="19"/>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3,588,733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958,357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2,625,246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40" w:type="dxa"/>
            <w:vAlign w:val="bottom"/>
            <w:tcBorders>
              <w:bottom w:val="single" w:sz="8" w:color="auto"/>
            </w:tcBorders>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743"/>
        </w:trPr>
        <w:tc>
          <w:tcPr>
            <w:tcW w:w="5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As of January 31, 2020</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87"/>
        </w:trPr>
        <w:tc>
          <w:tcPr>
            <w:tcW w:w="5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92"/>
              </w:rPr>
              <w:t>Level 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6"/>
                <w:szCs w:val="16"/>
                <w:color w:val="auto"/>
              </w:rPr>
            </w:pPr>
          </w:p>
        </w:tc>
      </w:tr>
      <w:tr>
        <w:trPr>
          <w:trHeight w:val="218"/>
        </w:trPr>
        <w:tc>
          <w:tcPr>
            <w:tcW w:w="5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5"/>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4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36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96,486</w:t>
            </w:r>
          </w:p>
        </w:tc>
        <w:tc>
          <w:tcPr>
            <w:tcW w:w="20" w:type="dxa"/>
            <w:vAlign w:val="bottom"/>
          </w:tcPr>
          <w:p>
            <w:pPr>
              <w:spacing w:after="0"/>
              <w:rPr>
                <w:sz w:val="19"/>
                <w:szCs w:val="19"/>
                <w:color w:val="auto"/>
              </w:rPr>
            </w:pPr>
          </w:p>
        </w:tc>
        <w:tc>
          <w:tcPr>
            <w:tcW w:w="3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96,486</w:t>
            </w:r>
          </w:p>
        </w:tc>
        <w:tc>
          <w:tcPr>
            <w:tcW w:w="20" w:type="dxa"/>
            <w:vAlign w:val="bottom"/>
          </w:tcPr>
          <w:p>
            <w:pPr>
              <w:spacing w:after="0"/>
              <w:rPr>
                <w:sz w:val="19"/>
                <w:szCs w:val="19"/>
                <w:color w:val="auto"/>
              </w:rPr>
            </w:pPr>
          </w:p>
        </w:tc>
        <w:tc>
          <w:tcPr>
            <w:tcW w:w="5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30"/>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Borders>
              <w:right w:val="single" w:sz="8" w:color="CCEEFF"/>
            </w:tcBorders>
            <w:shd w:val="clear" w:color="auto" w:fill="CFF0FC"/>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3"/>
        </w:trPr>
        <w:tc>
          <w:tcPr>
            <w:tcW w:w="54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111,479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96,486</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Agency bonds</w:t>
            </w:r>
          </w:p>
        </w:tc>
        <w:tc>
          <w:tcPr>
            <w:tcW w:w="1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Corporate and other debt securities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321,166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321,166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3"/>
        </w:trPr>
        <w:tc>
          <w:tcPr>
            <w:tcW w:w="54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572,060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572,060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Certificate of deposit included in prepaid expenses and other current assets</w:t>
            </w:r>
          </w:p>
        </w:tc>
        <w:tc>
          <w:tcPr>
            <w:tcW w:w="140" w:type="dxa"/>
            <w:vAlign w:val="bottom"/>
            <w:tcBorders>
              <w:right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2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Certificates of deposit included in other assets, noncurrent</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financial assets</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685,940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96,486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589,454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44"/>
        </w:trPr>
        <w:tc>
          <w:tcPr>
            <w:tcW w:w="5480" w:type="dxa"/>
            <w:vAlign w:val="bottom"/>
          </w:tcPr>
          <w:p>
            <w:pPr>
              <w:spacing w:after="0"/>
              <w:rPr>
                <w:sz w:val="24"/>
                <w:szCs w:val="24"/>
                <w:color w:val="auto"/>
              </w:rPr>
            </w:pPr>
          </w:p>
        </w:tc>
        <w:tc>
          <w:tcPr>
            <w:tcW w:w="360" w:type="dxa"/>
            <w:vAlign w:val="bottom"/>
            <w:gridSpan w:val="2"/>
          </w:tcPr>
          <w:p>
            <w:pPr>
              <w:jc w:val="right"/>
              <w:ind w:right="38"/>
              <w:spacing w:after="0"/>
              <w:rPr>
                <w:sz w:val="20"/>
                <w:szCs w:val="20"/>
                <w:color w:val="auto"/>
              </w:rPr>
            </w:pPr>
            <w:r>
              <w:rPr>
                <w:rFonts w:ascii="Arial" w:cs="Arial" w:eastAsia="Arial" w:hAnsi="Arial"/>
                <w:sz w:val="18"/>
                <w:szCs w:val="18"/>
                <w:color w:val="auto"/>
              </w:rPr>
              <w:t>78</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classify our highly liquid money market funds within Level 1 of the fair value hierarchy because they are valued based on quoted market prices in active markets. We classify our commercial paper, agency bonds, corporate and other debt securities, U.S. government agency securities, treasury bills, and certificates of deposit within Level 2 because they are valued using inputs other than quoted prices that are directly or indirectly observable in the market, including readily available pricing sources for the identical underlying security, which may not be actively traded. We classify the convertible note as Level 3 due to the lack of relevant observable market data over fair value inputs, such as the probability weighting of the various scenarios that can impact settlement of the arrangement.</w:t>
      </w:r>
    </w:p>
    <w:p>
      <w:pPr>
        <w:spacing w:after="0" w:line="84"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hold a non-marketable equity investment in a private company in the business of designing and developing video communications hardware. We do not have a controlling financial interest in the investee nor the ability to exercise significant influence over the operating and financial policies of the investee. We have elected to measure this investment, which does not have a readily determinable fair value, at its cost, minus impairment, if any, plus or minus changes resulting from observable price changes in orderly transactions for the identical or a similar investment of the same issuer (i.e., using the measurement alternative). As of January 31, 2021 and 2020, the carrying amount of the equity investment was $13.5 million and $3.0 million, respectively. We classify the equity investment as Level 3 within the fair value hierarchy only if an impairment or observable adjustment is recognized during the period, as it is based on an observable transaction price at the transaction date and other unobservable inputs, such as volatility.</w:t>
      </w:r>
    </w:p>
    <w:p>
      <w:pPr>
        <w:spacing w:after="0" w:line="1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Business Combinations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May 7, 2020, we acquired 100% of the issued and outstanding share capital of Keybase, Inc. (“Keybase”), a secure messaging and file-sharing company, for purchase consideration of $42.9 million in cash. The acquisition helps us strengthen the security of our video communications platform by providing end-to-end encryption expertise. The acquisition has been accounted for as a business combination.</w:t>
      </w:r>
    </w:p>
    <w:p>
      <w:pPr>
        <w:spacing w:after="0" w:line="7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 allocating the purchase consideration, $24.3 million was attributed to goodwill, $3.3 million to intangible assets, and $15.3 million to other net assets acquired primarily consisting of cash and cash equivalents of $16.4 million. The goodwill amount represents synergies related to our existing products expected to be realized from the acquisition and assembled workforce. The associated goodwill is not deductible for tax purposes. Acquired intangible assets consisted of developed technology with an estimated useful life of five years. The developed technology had a remaining useful life of 4.3 years as of January 31, 2021, and is amortized using the straight-line method over its estimated useful life.</w:t>
      </w:r>
    </w:p>
    <w:p>
      <w:pPr>
        <w:spacing w:after="0" w:line="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Not included in the purchase consideration, we also entered into holdback agreements with certain employees for $20.0 million in cash payments, which are subject to such employees’ continued service with us. The holdback amount of $20.0 million will be treated as compensation for research and development over the required service period ranging from one to three years.</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Transaction costs incurred in connection with the acquisition were immaterial. The results of operations of Keybase have been included in our consolidated financial statements from the date of the acquisition. Pro forma and historical results of operations of Keybase have not been presented, as the results do not have a material effect on any of the periods presented in our consolidated statements of operations.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Balance Sheet Components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As of January 31,</w:t>
            </w:r>
          </w:p>
        </w:tc>
        <w:tc>
          <w:tcPr>
            <w:tcW w:w="1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ind w:left="20"/>
              <w:spacing w:after="0"/>
              <w:rPr>
                <w:sz w:val="20"/>
                <w:szCs w:val="20"/>
                <w:color w:val="auto"/>
              </w:rPr>
            </w:pPr>
            <w:r>
              <w:rPr>
                <w:rFonts w:ascii="Arial" w:cs="Arial" w:eastAsia="Arial" w:hAnsi="Arial"/>
                <w:sz w:val="18"/>
                <w:szCs w:val="18"/>
                <w:color w:val="auto"/>
              </w:rPr>
              <w:t>Restricted cash from international employee stock sales</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50,475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48,547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6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116,819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60" w:type="dxa"/>
            <w:vAlign w:val="bottom"/>
            <w:vMerge w:val="restart"/>
          </w:tcPr>
          <w:p>
            <w:pPr>
              <w:ind w:left="460"/>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0" w:type="dxa"/>
            <w:vAlign w:val="bottom"/>
          </w:tcPr>
          <w:p>
            <w:pPr>
              <w:spacing w:after="0"/>
              <w:rPr>
                <w:sz w:val="24"/>
                <w:szCs w:val="24"/>
                <w:color w:val="auto"/>
              </w:rPr>
            </w:pPr>
          </w:p>
        </w:tc>
        <w:tc>
          <w:tcPr>
            <w:tcW w:w="77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7760" w:type="dxa"/>
            <w:vAlign w:val="bottom"/>
          </w:tcPr>
          <w:p>
            <w:pPr>
              <w:ind w:left="460"/>
              <w:spacing w:after="0"/>
              <w:rPr>
                <w:sz w:val="20"/>
                <w:szCs w:val="20"/>
                <w:color w:val="auto"/>
              </w:rPr>
            </w:pPr>
            <w:r>
              <w:rPr>
                <w:rFonts w:ascii="Arial" w:cs="Arial" w:eastAsia="Arial" w:hAnsi="Arial"/>
                <w:sz w:val="18"/>
                <w:szCs w:val="18"/>
                <w:color w:val="auto"/>
              </w:rPr>
              <w:t>Property and equipment consisted of the following:</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jc w:val="center"/>
              <w:ind w:left="35"/>
              <w:spacing w:after="0"/>
              <w:rPr>
                <w:sz w:val="20"/>
                <w:szCs w:val="20"/>
                <w:color w:val="auto"/>
              </w:rPr>
            </w:pPr>
            <w:r>
              <w:rPr>
                <w:rFonts w:ascii="Arial" w:cs="Arial" w:eastAsia="Arial" w:hAnsi="Arial"/>
                <w:sz w:val="14"/>
                <w:szCs w:val="14"/>
                <w:b w:val="1"/>
                <w:bCs w:val="1"/>
                <w:color w:val="auto"/>
                <w:w w:val="93"/>
              </w:rPr>
              <w:t>As of January 31,</w:t>
            </w: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60" w:type="dxa"/>
            <w:vAlign w:val="bottom"/>
            <w:gridSpan w:val="5"/>
          </w:tcPr>
          <w:p>
            <w:pPr>
              <w:jc w:val="center"/>
              <w:ind w:left="35"/>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980" w:type="dxa"/>
            <w:vAlign w:val="bottom"/>
            <w:gridSpan w:val="2"/>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137,445</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51,375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Software</w:t>
            </w: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36,216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gross</w:t>
            </w:r>
          </w:p>
        </w:tc>
        <w:tc>
          <w:tcPr>
            <w:tcW w:w="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201,879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(51,955)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149,924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57,138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Depreciation and amortization expense was $28.4 million, $16.4 million, and $7.0 million for the fiscal years ended January 31, 2021, 2020, and 2019, respectively.</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Assets, Noncurrent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assets, noncurrent consisted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As of January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7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noncurrent</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28,008</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9,011</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Equity investment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13,538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 noncurrent</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Indefinite-lived intangible assets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8,002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Intangible assets subject to amortization, net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2,814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Arial" w:cs="Arial" w:eastAsia="Arial" w:hAnsi="Arial"/>
                <w:sz w:val="18"/>
                <w:szCs w:val="18"/>
                <w:color w:val="auto"/>
              </w:rPr>
              <w:t>Other assets, noncurrent</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75,953</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22,332</w:t>
            </w:r>
          </w:p>
        </w:tc>
        <w:tc>
          <w:tcPr>
            <w:tcW w:w="0" w:type="dxa"/>
            <w:vAlign w:val="bottom"/>
          </w:tcPr>
          <w:p>
            <w:pPr>
              <w:spacing w:after="0"/>
              <w:rPr>
                <w:sz w:val="1"/>
                <w:szCs w:val="1"/>
                <w:color w:val="auto"/>
              </w:rPr>
            </w:pPr>
          </w:p>
        </w:tc>
      </w:tr>
      <w:tr>
        <w:trPr>
          <w:trHeight w:val="21"/>
        </w:trPr>
        <w:tc>
          <w:tcPr>
            <w:tcW w:w="7800" w:type="dxa"/>
            <w:vAlign w:val="bottom"/>
            <w:vMerge w:val="restart"/>
          </w:tcPr>
          <w:p>
            <w:pPr>
              <w:ind w:left="50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8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As of January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8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7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157,167</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17,475</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118,640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36,732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employee equity transactions to be remitted to employees and tax authorities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54,174</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49,287</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Sales and other tax liabilities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27,453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deposit liabilities</w:t>
            </w: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Operating lease liabilities, current</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15,601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23"/>
        </w:trPr>
        <w:tc>
          <w:tcPr>
            <w:tcW w:w="78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393,018</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122,692</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500"/>
              <w:spacing w:after="0"/>
              <w:rPr>
                <w:sz w:val="20"/>
                <w:szCs w:val="20"/>
                <w:color w:val="auto"/>
              </w:rPr>
            </w:pPr>
            <w:r>
              <w:rPr>
                <w:rFonts w:ascii="Arial" w:cs="Arial" w:eastAsia="Arial" w:hAnsi="Arial"/>
                <w:sz w:val="18"/>
                <w:szCs w:val="18"/>
                <w:b w:val="1"/>
                <w:bCs w:val="1"/>
                <w:i w:val="1"/>
                <w:iCs w:val="1"/>
                <w:color w:val="auto"/>
              </w:rPr>
              <w:t>Other Liabilities, Noncurrent</w:t>
            </w: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8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0" w:type="dxa"/>
            <w:vAlign w:val="bottom"/>
          </w:tcPr>
          <w:p>
            <w:pPr>
              <w:ind w:left="500"/>
              <w:spacing w:after="0"/>
              <w:rPr>
                <w:sz w:val="20"/>
                <w:szCs w:val="20"/>
                <w:color w:val="auto"/>
              </w:rPr>
            </w:pPr>
            <w:r>
              <w:rPr>
                <w:rFonts w:ascii="Arial" w:cs="Arial" w:eastAsia="Arial" w:hAnsi="Arial"/>
                <w:sz w:val="18"/>
                <w:szCs w:val="18"/>
                <w:color w:val="auto"/>
              </w:rPr>
              <w:t>Other liabilities, noncurrent consisted of the following:</w:t>
            </w: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8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As of January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8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7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other tax liabilities</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58,133</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33,957</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liabilities, noncurrent</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61,634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36,286</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Operating Leases</w:t>
      </w:r>
    </w:p>
    <w:p>
      <w:pPr>
        <w:spacing w:after="0" w:line="12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 xml:space="preserve">We have entered into various operating lease agreements for office space, with remaining contractual periods of up to 9 years. We also enter into equipment operating lease agreements related to our HaaS offering. As a practical expedient, we account for HaaS with customers as a combined performance obligation with the right to access our unified communications platform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HaaS was immaterial to our consolidated financial statements. Many of our leases contain one or more options to extend. As leases approach maturity, we consider various factors such as market conditions and the terms of any renewal options that may exist to determine whether we are reasonably certain to exercise the options to extend the lease. Operating lease expense for the fiscal years ended January 31, 2021 and 2020 was $14.5 million and $9.7 million, respectively, excluding short-term lease costs, variable lease costs, and sublease income, each of which was immaterial for the fiscal years ended January 31, 2021 and 2020. Rent expense was $7.2 million for the fiscal year ended January 31, 2019, under Topic 840.</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As of January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183"/>
        </w:trPr>
        <w:tc>
          <w:tcPr>
            <w:tcW w:w="7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4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7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right-of-use assets</w:t>
            </w:r>
          </w:p>
        </w:tc>
        <w:tc>
          <w:tcPr>
            <w:tcW w:w="48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97,649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68,608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4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15,601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Operating lease liabilities, noncurrent</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90,415</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64,792</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lease liabilities</w:t>
            </w:r>
          </w:p>
        </w:tc>
        <w:tc>
          <w:tcPr>
            <w:tcW w:w="48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rPr>
              <w:t>106,016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72,467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6.1 years</w:t>
            </w: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years</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431"/>
        </w:trPr>
        <w:tc>
          <w:tcPr>
            <w:tcW w:w="7600" w:type="dxa"/>
            <w:vAlign w:val="bottom"/>
          </w:tcPr>
          <w:p>
            <w:pPr>
              <w:ind w:left="500"/>
              <w:spacing w:after="0"/>
              <w:rPr>
                <w:sz w:val="20"/>
                <w:szCs w:val="20"/>
                <w:color w:val="auto"/>
              </w:rPr>
            </w:pPr>
            <w:r>
              <w:rPr>
                <w:rFonts w:ascii="Arial" w:cs="Arial" w:eastAsia="Arial" w:hAnsi="Arial"/>
                <w:sz w:val="18"/>
                <w:szCs w:val="18"/>
                <w:color w:val="auto"/>
                <w:w w:val="99"/>
              </w:rPr>
              <w:t>Supplemental cash flow and other information related to operating leases was as follows:</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83"/>
        </w:trPr>
        <w:tc>
          <w:tcPr>
            <w:tcW w:w="7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4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 included in the measurement of our operating lease liabilities</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87"/>
              </w:rPr>
              <w:t>13,717</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w w:val="99"/>
              </w:rPr>
              <w:t>Operating lease right-of-use assets recognized in exchange for new operating lease obligations</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Pr>
          <w:p>
            <w:pPr>
              <w:ind w:left="800"/>
              <w:spacing w:after="0"/>
              <w:rPr>
                <w:sz w:val="20"/>
                <w:szCs w:val="20"/>
                <w:color w:val="auto"/>
              </w:rPr>
            </w:pPr>
            <w:r>
              <w:rPr>
                <w:rFonts w:ascii="Arial" w:cs="Arial" w:eastAsia="Arial" w:hAnsi="Arial"/>
                <w:sz w:val="18"/>
                <w:szCs w:val="18"/>
                <w:color w:val="auto"/>
                <w:w w:val="87"/>
              </w:rPr>
              <w:t>39,918</w:t>
            </w:r>
          </w:p>
        </w:tc>
        <w:tc>
          <w:tcPr>
            <w:tcW w:w="100" w:type="dxa"/>
            <w:vAlign w:val="bottom"/>
          </w:tcPr>
          <w:p>
            <w:pPr>
              <w:spacing w:after="0"/>
              <w:rPr>
                <w:sz w:val="20"/>
                <w:szCs w:val="20"/>
                <w:color w:val="auto"/>
              </w:rPr>
            </w:pPr>
          </w:p>
        </w:tc>
        <w:tc>
          <w:tcPr>
            <w:tcW w:w="74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34,993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January 31, 2021, the future minimum lease payments included in the measurement of our operating lease liabilities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2"/>
              </w:rPr>
              <w:t>As of January 31, 2021</w:t>
            </w:r>
          </w:p>
        </w:tc>
      </w:tr>
      <w:tr>
        <w:trPr>
          <w:trHeight w:val="187"/>
        </w:trPr>
        <w:tc>
          <w:tcPr>
            <w:tcW w:w="9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293"/>
              <w:spacing w:after="0"/>
              <w:rPr>
                <w:sz w:val="20"/>
                <w:szCs w:val="20"/>
                <w:color w:val="auto"/>
              </w:rPr>
            </w:pPr>
            <w:r>
              <w:rPr>
                <w:rFonts w:ascii="Arial" w:cs="Arial" w:eastAsia="Arial" w:hAnsi="Arial"/>
                <w:sz w:val="14"/>
                <w:szCs w:val="14"/>
                <w:b w:val="1"/>
                <w:bCs w:val="1"/>
                <w:color w:val="auto"/>
              </w:rPr>
              <w:t>(in thousands)</w:t>
            </w:r>
          </w:p>
        </w:tc>
      </w:tr>
      <w:tr>
        <w:trPr>
          <w:trHeight w:val="231"/>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January 31,</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19,949</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21,313</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20,310</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15,384</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24,808</w:t>
            </w:r>
          </w:p>
        </w:tc>
      </w:tr>
      <w:tr>
        <w:trPr>
          <w:trHeight w:val="223"/>
        </w:trPr>
        <w:tc>
          <w:tcPr>
            <w:tcW w:w="9600" w:type="dxa"/>
            <w:vAlign w:val="bottom"/>
          </w:tcPr>
          <w:p>
            <w:pPr>
              <w:ind w:left="220"/>
              <w:spacing w:after="0"/>
              <w:rPr>
                <w:sz w:val="20"/>
                <w:szCs w:val="20"/>
                <w:color w:val="auto"/>
              </w:rPr>
            </w:pPr>
            <w:r>
              <w:rPr>
                <w:rFonts w:ascii="Arial" w:cs="Arial" w:eastAsia="Arial" w:hAnsi="Arial"/>
                <w:sz w:val="18"/>
                <w:szCs w:val="18"/>
                <w:color w:val="auto"/>
              </w:rPr>
              <w:t>Total operating lease payments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121,980</w:t>
            </w:r>
          </w:p>
        </w:tc>
      </w:tr>
      <w:tr>
        <w:trPr>
          <w:trHeight w:val="230"/>
        </w:trPr>
        <w:tc>
          <w:tcPr>
            <w:tcW w:w="9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imputed interest</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(15,964)</w:t>
            </w:r>
          </w:p>
        </w:tc>
      </w:tr>
      <w:tr>
        <w:trPr>
          <w:trHeight w:val="223"/>
        </w:trPr>
        <w:tc>
          <w:tcPr>
            <w:tcW w:w="9600" w:type="dxa"/>
            <w:vAlign w:val="bottom"/>
          </w:tcPr>
          <w:p>
            <w:pPr>
              <w:ind w:left="480"/>
              <w:spacing w:after="0"/>
              <w:rPr>
                <w:sz w:val="20"/>
                <w:szCs w:val="20"/>
                <w:color w:val="auto"/>
              </w:rPr>
            </w:pPr>
            <w:r>
              <w:rPr>
                <w:rFonts w:ascii="Arial" w:cs="Arial" w:eastAsia="Arial" w:hAnsi="Arial"/>
                <w:sz w:val="18"/>
                <w:szCs w:val="18"/>
                <w:color w:val="auto"/>
              </w:rPr>
              <w:t>Total operating lease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106,016</w:t>
            </w:r>
          </w:p>
        </w:tc>
      </w:tr>
      <w:tr>
        <w:trPr>
          <w:trHeight w:val="21"/>
        </w:trPr>
        <w:tc>
          <w:tcPr>
            <w:tcW w:w="9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In the normal course of business, we enter into non-cancelable purchase commitments with various parties to purchase primarily software-based services. As of January 31, 2021, we had outstanding non-cancelable purchase obligations with a term of 12 months or longer of $498.6 million.</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May 2020, we entered into a license agreement with MPEGLA to obtain the rights for future use of licensed intellectual property in exchange for periodic royalty payments. In connection with the license agreement, we made an initial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royalty payment of $9.8 million to use the technology until December 31, 2020 and we made an additional payment of $9.8 million in the fourth quarter of fiscal year 2021 to use the technology until December 31, 2021. Both payments were amortized in cost of revenue on a straight-line basis in our consolidated statements of operations. For the fiscal year ended January 31, 2021, we recorded $10.6 million of such costs. In addition, we made a one-time payment of $9.8 million for past use, which was recorded in general and administrative expenses in our consolidated statements of operations for the fiscal year ended January 31, 2021.</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Indemnifications and Contingency</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agreements with certain larger customers include certain provisions for indemnifying customers against liabilities if our services infringe a third party’s intellectual property rights. It is not possible to determine the maximum potential amount under these indemnification obligations due to the limited history of prior indemnification claims and the unique facts and circumstances that may be involved in each particular agreement. To date, we have not incurred any material costs as a result of such provisions and have not accrued any liabilities related to such obligations in our consolidated financial statements.</w:t>
      </w:r>
    </w:p>
    <w:p>
      <w:pPr>
        <w:spacing w:after="0" w:line="8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addition, we have indemnification agreements with our directors and our executive officers that require us, among other things, to indemnify our directors and executive officers for costs associated with any fees, expenses, judgments, fines, and settlement amounts incurred by any of those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insurance coverage that may enable us to recover a portion of any future indemnification amounts paid. To date, there have been no claims under any of our directors’ and executive officers’ indemnification provisions.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Sales and Other Tax Liabilities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conduct operations in many tax jurisdictions. In many jurisdictions, non-income-based taxes, such as sales and use tax and other indirect taxes, are assessed on our operations. Although we are diligent in collecting and remitting such taxes, there is uncertainty as to what constitutes sufficient presence for a jurisdiction to levy taxes, fees, and surcharges for sales made over the Internet. As of January 31, 2021 and 2020, we recorded sales and other tax liabilities of $85.6 million and $37.7 million, respectively, of which $27.5 million and $3.7 million are included in accrued expenses and other current liabilities, respectively, and $58.1 million and $34.0 million are included in other liabilities, noncurrent, respectively, in our consolidated balance sheets, based on our best estimate of the probable liability for the loss contingency incurred as of those dates. Our estimate of a probable outcome under the loss contingency is based on analysis of our sales and marketing activities, revenue subject to sales tax, and applicable regulations in applicable jurisdictions in each period. No significant adjustments to the sales and other tax liabilities have been recognized in the accompanying consolidated financial statements for changes to the assumptions underlying the estimate; however, changes in our assumptions may occur in the future as we obtain new information, which can result in adjustments to the recorded liability.</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platform and associated products are subject to various restrictions under U.S. export control and sanctions laws and regulations, including the U.S. Department of Commerce’s EAR and various economic and trade sanctions regulations administered by the U.S. Treasury Department’s Office of Foreign Assets Controls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8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the OFAC and the U.S. Department of Commerce’s BIS. In June 2019, OFAC and BIS issued us warning letters as their final enforcement responses to these potential violations, but no fines or penalties were assessed. If we are found to be in violation of U.S. economic sanctions or export control laws in the future, it could result in fines and penalties.</w:t>
      </w:r>
    </w:p>
    <w:p>
      <w:pPr>
        <w:spacing w:after="0" w:line="6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 June 2020 we received a grand jury subpoena from the Department of Justice’s U.S. Attorney’s Office for Eastern District of New York “EDNY”), which requested information regarding our interactions with foreign governments and foreign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political parties, including the Chinese government, as well as information regarding storage of and access to user data, the development and implementation of Zoom’s privacy policies, and the actions we took relating to the Tiananmen commemorations on Zoom. In July 2020, we received subpoenas from the Department of Justice’s U.S. Attorney’s Office for the Northern District of California (“NDCA”) and the SEC. Both subpoenas seek documents and information relating to various security, data protection and privacy matters, including our encryption, and our statements relating thereto, as well as calculation of usage metrics and related public statements. In addition, the NDCA subpoena seeks information relating to any contacts between our employees and representatives of the Chinese government, and any attempted or successful influence by any foreign government in our policies, procedures, practices, and actions as they relate to users in the United States. We have since received additional subpoenas from EDNY and NDCA seeking related information. We are fully cooperating with all of these investigations and have been conducting our own thorough internal investigation. These investigations are ongoing, and we do not know when they will be completed, which facts we will ultimately discover as a result of the investigations, or what actions the government may or may not take. We cannot predict the outcome of these investigations, and a negative outcome in any or all of these matters could cause us to incur substantial fines, penalties, or other financial exposure.</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Beginning on March 30, 2020, multiple putative class actions have been filed against us in various U.S. federal district courts and state courts relating to our alleged privacy and security practices, including alleged data sharing with third parties (the “U.S. Privacy Class Actions”). We have also been sued under the DC private attorney general statute on behalf of members of the general public. The plaintiffs claim violations of a variety of state consumer protection and privacy laws, and also assert state constitutional and common law claims such as negligence and unjust enrichment. The U.S. Privacy Class Actions seek to certify both nationwide and state-specific classes of individuals using our services in certain time periods. The plaintiffs seek various forms of injunctive and monetary relief, including restitution, statutory and actual damages, punitive damages, and attorneys’ fees. The federal cases have been transferred to and consolidated in the Northern District of California with our consent; lead plaintiffs’ counsel have been appointed; and plaintiffs filed their first amended consolidated class action complaint on October 28, 2020. We filed a motion to dismiss the first amended consolidated class action complaint on December 2, 2020, which is pending ruling by the court, and the parties are presently engaged in discovery, with plaintiffs’ motion for class certification due on June 25, 2021.</w:t>
      </w:r>
    </w:p>
    <w:p>
      <w:pPr>
        <w:spacing w:after="0" w:line="7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On April 7, 2020, and April 8, 2020, securities class action complaints were filed against us and two of our officers in the United States District Court for the Northern District of California. The plaintiffs are purported stockholders of the Company. The complaints allege, among other things, that we violated Sections 10(b) and 20(a) of the Securities Exchange Act of 1934, and Rule 10b-5 by making false and misleading statements and omissions of material fact about our data privacy and security measures. The complaints seek unspecified damages, interest, fees, and costs. On May 18, 2020, the actions were consolidated. On November 4, 2020, the court appointed a lead plaintiff. On December 23, 2020, the lead plaintiff filed a consolidated complaint. The response to the complaint is currently stayed while the court considers a motion for reconsideration regarding its lead plaintiff appointment.</w:t>
      </w:r>
    </w:p>
    <w:p>
      <w:pPr>
        <w:spacing w:after="0" w:line="5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On June 11, 2020 and July 30, 2020, purported shareholder derivative complaints were filed in the United States District Court for the District of Delaware. The first complaint names as defendants nine of our officers and directors and the second complaint names eight of our officers and directors. The lawsuits assert state and federal claims and are based on the same alleged misstatements as the shareholder class action complaint. The lawsuits accuse our board of directors of failing to exercise reasonable and prudent supervision over our management, policies, practices, and internal controls. The plaintiffs seek unspecified monetary damages on behalf of us as well as governance reforms. On September 25, 2020, the derivative cases were consolidated. The consolidated case is stayed pending resolution of a forthcoming motion to dismiss the securities class action.</w:t>
      </w:r>
    </w:p>
    <w:p>
      <w:pPr>
        <w:spacing w:after="0" w:line="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believe these lawsuits are without merit, and we are vigorously defending ourselves against them. Given the uncertainty of litigation, the preliminary stage of the cases, and the legal standards that must be met for, among other things, class certification and success on the merits, we cannot estimate the reasonably possible loss or range of loss that may result from these actions.</w:t>
      </w:r>
    </w:p>
    <w:p>
      <w:pPr>
        <w:spacing w:after="0" w:line="7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September 2019, the FTC issued a CID to us requiring us to produce certain documents and materials and to answer certain interrogatories relating to our privacy and security representations and practices. Since then, we have fully cooperated with the investigation. In October 2020, we reached a proposed settlement agreement with the FTC staff, which would resolve the FTC’s allegations that certain of our statements and practices about our security constituted deceptive and unfair acts or practices in violation of the FTC Act. On November 10, 2020, the FTC Commissioners voted to approve the settlement and, on November 13, 2020, the FTC published the settlement in the Federal Register for a 30-day public comment period, which ended on December 13, 2020. On January 19, 2021, the FTC voted to finalize the settlement. Under the terms of the settlement, we neither admit nor deny the FTC’s allegations, and the FTC does not impose any fine or penalty upon us. We are required to implement certain injunctive provisions, including, among other things, refraining from making any misrepresentations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regarding the privacy and security of our services or how we collect, maintain, use, delete, disclose, allow access to, and protect user information. It also requires us to implement a detailed information security program and obtain third-party security assessments periodically.</w:t>
      </w:r>
    </w:p>
    <w:p>
      <w:pPr>
        <w:spacing w:after="0" w:line="6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do not expect the settlement to have a material impact on our financial results. We will cooperate with the FTC’s requirements and work to ensure compliance. Any failure to comply with the settlement may increase the possibility of additional adverse consequences, including litigation, additional regulatory actions, injunctions, or monetary penalties, or require further changes to our business practices, significant management time, or the diversion of significant operational resources, all of which could result in a material loss or otherwise harm our business.</w:t>
      </w:r>
    </w:p>
    <w:p>
      <w:pPr>
        <w:spacing w:after="0" w:line="6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from time to time, we are involved in various other legal proceedings arising from the normal course of business activities. We are not presently a party to any other such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Convertible Preferred Stock, Stockholders’ Equity (Deficit), and Equity Incentive Plans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Upon completion of the IPO in April 2019, all shares of convertible preferred stock outstanding, totaling 152,665,804 shares, were automatically converted into an equivalent number of shares of Class B common stock on a one-to-one basis and their carrying value of $159.6 million was reclassified into stockholders’ equity. As of January 31, 2021 and 2020, there were no shares of convertible preferred stock issued and outstanding.</w:t>
      </w:r>
    </w:p>
    <w:p>
      <w:pPr>
        <w:spacing w:after="0" w:line="4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connection with the IPO, our amended and restated certificate of incorporation became effective, which authorized the issuance of 200,000,000 shares of undesignated preferred stock with a par value of $0.001 with rights and preferences, including voting rights, designated from time to time by our board of directors.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Dual-Class Common Stock Structure</w:t>
      </w:r>
    </w:p>
    <w:p>
      <w:pPr>
        <w:spacing w:after="0" w:line="11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In November 2018, we implemented a dual class common stock structure pursuant to which all the then-outstanding shares of our common stock were reclassified as Class B common stock and a new class of Class A common stock was authorized. The Class A common stock is entitled to one vote per share and the Class B common stock is entitled to 10 votes per share. The Class A and Class B common stock have the same dividend and liquidation rights. Each share of Class B common stock will automatically convert into one share of Class A common stock upon (a) any transfer of such share, except for certain permitted transfers described in our amended and restated certificate of incorporation and (b) the death of the holder of such share. In addition, each share of Class B common stock will be automatically converted into one share of Class A common stock upon the earliest of (a) the date that is six months following the death or incapacity of Eric S. Yuan (our CEO), (b) the date that is six months following the date that Mr. Yuan is no longer providing services to us or his employment is terminated for cause, (c) the date specified by the holders of a majority of the then-outstanding shares of convertible preferred stock, voting together on an as-converted basis, and the holders of a majority of the then-outstanding shares of Class B common stock, voting as a separate class, and (d) the 15-year anniversary of the closing of our IPO. In connection with the implementation of the dual-class common stock structure, each then-outstanding share of our convertible preferred stock became convertible into one share of Class B common stock, and all outstanding options to purchase shares of common stock became options to purchase an equivalent number of shares of Class B common stock.</w:t>
      </w:r>
    </w:p>
    <w:p>
      <w:pPr>
        <w:spacing w:after="0" w:line="6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Upon the effectiveness of the amended and restated certificate of incorporation in November 2018, the number of shares of common stock that is authorized to be issued consisted of 320,000,000 shares of Class A common stock, $0.001 par value per share and 300,000,000 shares of Class B common stock, $0.001 par value per share. Class A and Class B common stock are collectively referred to as “common stock” throughout the notes to the consolidated financial statements, unless otherwise noted.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Equity Financing</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April 23, 2019, we completed our IPO, in which we issued and sold 9,911,434 shares of our Class A common stock at $36.00 per share. On April 18, 2019, the underwriters exercised their option to purchase an additional 3,130,435 shares of our Class A common stock at $36.00 per share. We received aggregate proceeds of $447.9 million, net of underwriters’ discounts and commissions. In connection with the IPO:</w:t>
      </w:r>
    </w:p>
    <w:p>
      <w:pPr>
        <w:spacing w:after="0" w:line="57" w:lineRule="exact"/>
        <w:rPr>
          <w:sz w:val="20"/>
          <w:szCs w:val="20"/>
          <w:color w:val="auto"/>
        </w:rPr>
      </w:pPr>
    </w:p>
    <w:p>
      <w:pPr>
        <w:ind w:left="1140" w:hanging="646"/>
        <w:spacing w:after="0" w:line="277" w:lineRule="auto"/>
        <w:tabs>
          <w:tab w:leader="none" w:pos="11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of the shares of convertible preferred stock outstanding automatically converted into an aggregate of 152,665,804 shares of Class B common stock;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hanging="646"/>
        <w:spacing w:after="0" w:line="277" w:lineRule="auto"/>
        <w:tabs>
          <w:tab w:leader="none" w:pos="11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outstanding convertible promissory notes and accrued interest automatically converted into 426,223 shares of Class A common stock based on the IPO price of $36.00 per share; and</w:t>
      </w:r>
    </w:p>
    <w:p>
      <w:pPr>
        <w:spacing w:after="0" w:line="62" w:lineRule="exact"/>
        <w:rPr>
          <w:rFonts w:ascii="Arial" w:cs="Arial" w:eastAsia="Arial" w:hAnsi="Arial"/>
          <w:sz w:val="18"/>
          <w:szCs w:val="18"/>
          <w:color w:val="auto"/>
        </w:rPr>
      </w:pPr>
    </w:p>
    <w:p>
      <w:pPr>
        <w:jc w:val="both"/>
        <w:ind w:left="1140" w:hanging="646"/>
        <w:spacing w:after="0" w:line="263" w:lineRule="auto"/>
        <w:tabs>
          <w:tab w:leader="none" w:pos="113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Salesforce Ventures LLC purchased 2,777,777 shares of Class A common stock from us at $36.00 per share in a concurrent private placement. We received aggregate proceeds of $100.0 million and did not pay any underwriting discounts or commissions with respect to the shares of Class A common stock that were sold in this private placement.</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Deferred offering costs consist primarily of accounting, legal, and other fees related to our IPO. Prior to the IPO, all deferred offering costs were capitalized in other assets, noncurrent in the consolidated balance sheets. After the IPO, $6.4 million of deferred offering costs were reclassified into stockholders’ equity (deficit) as a reduction of the IPO proceeds in the consolidated balance sheets. We capitalized $2.4 million of deferred offering costs within other assets, noncurrent in the consolidated balance sheet as of January 31, 2019, which were reclassified into additional paid-in capital upon the completion of the IPO.</w:t>
      </w:r>
    </w:p>
    <w:p>
      <w:pPr>
        <w:spacing w:after="0" w:line="8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January 15, 2021, we completed our follow-on public offering, in which we issued and sold 5,882,353 shares of our Class A common stock, including 735,294 shares pursuant to the full exercise of the underwriter's option to purchase additional shares, at $340.00 per share. We received aggregate proceeds of $1,980.0 million, net of underwriters’ discounts and commissions. The other related offering costs were immaterial.</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Upon the completion of the IPO in April 2019, our amended and restated certificate of incorporation became effective, which also authorized the issuance of 2,000,000,000 shares of Class A common stock, $0.001 par value per share and 300,000,000 shares of Class B common stock, $0.001 par value per share.</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the following shares of Class A common stock reserved for future issuance: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260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As of January 31,</w:t>
            </w:r>
          </w:p>
        </w:tc>
        <w:tc>
          <w:tcPr>
            <w:tcW w:w="1220" w:type="dxa"/>
            <w:vAlign w:val="bottom"/>
            <w:tcBorders>
              <w:bottom w:val="single" w:sz="8" w:color="auto"/>
            </w:tcBorders>
          </w:tcPr>
          <w:p>
            <w:pPr>
              <w:spacing w:after="0"/>
              <w:rPr>
                <w:sz w:val="16"/>
                <w:szCs w:val="16"/>
                <w:color w:val="auto"/>
              </w:rPr>
            </w:pPr>
          </w:p>
        </w:tc>
      </w:tr>
      <w:tr>
        <w:trPr>
          <w:trHeight w:val="187"/>
        </w:trPr>
        <w:tc>
          <w:tcPr>
            <w:tcW w:w="73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2020</w:t>
            </w: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outstanding</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9,239,504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16,833,009</w:t>
            </w: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RSUs outstanding</w:t>
            </w:r>
          </w:p>
        </w:tc>
        <w:tc>
          <w:tcPr>
            <w:tcW w:w="1840" w:type="dxa"/>
            <w:vAlign w:val="bottom"/>
          </w:tcPr>
          <w:p>
            <w:pPr>
              <w:jc w:val="right"/>
              <w:spacing w:after="0"/>
              <w:rPr>
                <w:sz w:val="20"/>
                <w:szCs w:val="20"/>
                <w:color w:val="auto"/>
              </w:rPr>
            </w:pPr>
            <w:r>
              <w:rPr>
                <w:rFonts w:ascii="Arial" w:cs="Arial" w:eastAsia="Arial" w:hAnsi="Arial"/>
                <w:sz w:val="18"/>
                <w:szCs w:val="18"/>
                <w:color w:val="auto"/>
              </w:rPr>
              <w:t>4,510,730</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1,964,668</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 purchase rights outstanding</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724,883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1,323,662</w:t>
            </w:r>
          </w:p>
        </w:tc>
      </w:tr>
      <w:tr>
        <w:trPr>
          <w:trHeight w:val="230"/>
        </w:trPr>
        <w:tc>
          <w:tcPr>
            <w:tcW w:w="7380" w:type="dxa"/>
            <w:vAlign w:val="bottom"/>
          </w:tcPr>
          <w:p>
            <w:pPr>
              <w:ind w:left="20"/>
              <w:spacing w:after="0"/>
              <w:rPr>
                <w:sz w:val="20"/>
                <w:szCs w:val="20"/>
                <w:color w:val="auto"/>
              </w:rPr>
            </w:pPr>
            <w:r>
              <w:rPr>
                <w:rFonts w:ascii="Arial" w:cs="Arial" w:eastAsia="Arial" w:hAnsi="Arial"/>
                <w:sz w:val="18"/>
                <w:szCs w:val="18"/>
                <w:color w:val="auto"/>
              </w:rPr>
              <w:t>Remaining shares available for future issuance under the 2011 and 2019 plan</w:t>
            </w:r>
          </w:p>
        </w:tc>
        <w:tc>
          <w:tcPr>
            <w:tcW w:w="1840" w:type="dxa"/>
            <w:vAlign w:val="bottom"/>
          </w:tcPr>
          <w:p>
            <w:pPr>
              <w:jc w:val="right"/>
              <w:spacing w:after="0"/>
              <w:rPr>
                <w:sz w:val="20"/>
                <w:szCs w:val="20"/>
                <w:color w:val="auto"/>
              </w:rPr>
            </w:pPr>
            <w:r>
              <w:rPr>
                <w:rFonts w:ascii="Arial" w:cs="Arial" w:eastAsia="Arial" w:hAnsi="Arial"/>
                <w:sz w:val="18"/>
                <w:szCs w:val="18"/>
                <w:color w:val="auto"/>
              </w:rPr>
              <w:t>44,584,783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33,604,587</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shares available for future issuance under the ESPP</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9,648,574</w:t>
            </w: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7,186,070</w:t>
            </w:r>
          </w:p>
        </w:tc>
      </w:tr>
      <w:tr>
        <w:trPr>
          <w:trHeight w:val="223"/>
        </w:trPr>
        <w:tc>
          <w:tcPr>
            <w:tcW w:w="7380" w:type="dxa"/>
            <w:vAlign w:val="bottom"/>
          </w:tcPr>
          <w:p>
            <w:pPr>
              <w:ind w:left="360"/>
              <w:spacing w:after="0"/>
              <w:rPr>
                <w:sz w:val="20"/>
                <w:szCs w:val="20"/>
                <w:color w:val="auto"/>
              </w:rPr>
            </w:pPr>
            <w:r>
              <w:rPr>
                <w:rFonts w:ascii="Arial" w:cs="Arial" w:eastAsia="Arial" w:hAnsi="Arial"/>
                <w:sz w:val="18"/>
                <w:szCs w:val="18"/>
                <w:color w:val="auto"/>
              </w:rPr>
              <w:t>Total shares of Class A common stock reserved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68,708,474</w:t>
            </w:r>
          </w:p>
        </w:tc>
        <w:tc>
          <w:tcPr>
            <w:tcW w:w="1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60,911,996</w:t>
            </w:r>
          </w:p>
        </w:tc>
      </w:tr>
      <w:tr>
        <w:trPr>
          <w:trHeight w:val="20"/>
        </w:trPr>
        <w:tc>
          <w:tcPr>
            <w:tcW w:w="73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In 2011, we adopted the 2011 Global Share Plan (“2011 Plan”), under which officers, employees, and consultants were granted various forms of equity incentive compensation at the discretion of the board of directors, including stock options and restricted stock awards. In connection with the IPO, the shares of Class B common stock remaining available for issuance under the 2011 Plan became available for issuance for a corresponding number of shares of our Class A common stock under the 2019 Equity Incentive Plan (“2019 Plan”), which is a successor to and continuation of our 2011 Plan.</w:t>
      </w:r>
    </w:p>
    <w:p>
      <w:pPr>
        <w:spacing w:after="0" w:line="4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April 2019, we adopted the 2019 Plan, which became effective in connection with our IPO. Our 2019 Plan provides for the grant of stock options, stock appreciation rights, RSAs, RSU awards, performance awards, and other forms of awards. The maximum number of shares of our Class A common stock that may be issued under our 2019 Plan will not exceed 58,300,889 shares of our Class A common stock, which is the sum of (1) 34,000,000 new shares, plus (2) an additional number of shares not to exceed 24,300,889, consisting of (A) shares that remain available for the issuance of awards under our 2011 Plan as of immediately prior to the time our 2019 Plan becomes effective and (B) shares of Class B common stock subject to outstanding stock options or other stock awards granted under our 2011 Plan that, on or after the 2019 Plan became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In addition, the number of shares of our Class A common stock reserved for issuance under our 2019 Plan automatically increases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 (ii) a lesser number of shares determined by our board of directors prior to the applicable February 1.</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stock option activity under our equity incentive plan and related information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ind w:right="1040"/>
              <w:spacing w:after="0"/>
              <w:rPr>
                <w:sz w:val="20"/>
                <w:szCs w:val="20"/>
                <w:color w:val="auto"/>
              </w:rPr>
            </w:pPr>
            <w:r>
              <w:rPr>
                <w:rFonts w:ascii="Arial" w:cs="Arial" w:eastAsia="Arial" w:hAnsi="Arial"/>
                <w:sz w:val="14"/>
                <w:szCs w:val="14"/>
                <w:b w:val="1"/>
                <w:bCs w:val="1"/>
                <w:color w:val="auto"/>
                <w:w w:val="92"/>
              </w:rPr>
              <w:t>Stock Options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16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left="368"/>
              <w:spacing w:after="0" w:line="135"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Stock</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left="348"/>
              <w:spacing w:after="0" w:line="135" w:lineRule="exact"/>
              <w:rPr>
                <w:sz w:val="20"/>
                <w:szCs w:val="20"/>
                <w:color w:val="auto"/>
              </w:rPr>
            </w:pPr>
            <w:r>
              <w:rPr>
                <w:rFonts w:ascii="Arial" w:cs="Arial" w:eastAsia="Arial" w:hAnsi="Arial"/>
                <w:sz w:val="14"/>
                <w:szCs w:val="14"/>
                <w:b w:val="1"/>
                <w:bCs w:val="1"/>
                <w:color w:val="auto"/>
                <w:w w:val="90"/>
              </w:rPr>
              <w:t>Exercise</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1"/>
                <w:szCs w:val="11"/>
                <w:color w:val="auto"/>
              </w:rPr>
            </w:pPr>
          </w:p>
        </w:tc>
        <w:tc>
          <w:tcPr>
            <w:tcW w:w="116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8"/>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360" w:type="dxa"/>
            <w:vAlign w:val="bottom"/>
            <w:gridSpan w:val="8"/>
          </w:tcPr>
          <w:p>
            <w:pPr>
              <w:jc w:val="center"/>
              <w:ind w:right="110"/>
              <w:spacing w:after="0"/>
              <w:rPr>
                <w:sz w:val="20"/>
                <w:szCs w:val="20"/>
                <w:color w:val="auto"/>
              </w:rPr>
            </w:pPr>
            <w:r>
              <w:rPr>
                <w:rFonts w:ascii="Arial" w:cs="Arial" w:eastAsia="Arial" w:hAnsi="Arial"/>
                <w:sz w:val="14"/>
                <w:szCs w:val="14"/>
                <w:b w:val="1"/>
                <w:bCs w:val="1"/>
                <w:color w:val="auto"/>
                <w:w w:val="91"/>
              </w:rPr>
              <w:t>(in thousands, except share, life and per share data)</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January 31, 2020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16,833,009</w:t>
            </w:r>
          </w:p>
        </w:tc>
        <w:tc>
          <w:tcPr>
            <w:tcW w:w="1100" w:type="dxa"/>
            <w:vAlign w:val="bottom"/>
            <w:gridSpan w:val="3"/>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5.73</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1,191,881</w:t>
            </w:r>
          </w:p>
        </w:tc>
        <w:tc>
          <w:tcPr>
            <w:tcW w:w="0" w:type="dxa"/>
            <w:vAlign w:val="bottom"/>
          </w:tcPr>
          <w:p>
            <w:pPr>
              <w:spacing w:after="0"/>
              <w:rPr>
                <w:sz w:val="1"/>
                <w:szCs w:val="1"/>
                <w:color w:val="auto"/>
              </w:rPr>
            </w:pPr>
          </w:p>
        </w:tc>
      </w:tr>
      <w:tr>
        <w:trPr>
          <w:trHeight w:val="229"/>
        </w:trPr>
        <w:tc>
          <w:tcPr>
            <w:tcW w:w="534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788"/>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(7,378,477)</w:t>
            </w:r>
          </w:p>
        </w:tc>
        <w:tc>
          <w:tcPr>
            <w:tcW w:w="1100" w:type="dxa"/>
            <w:vAlign w:val="bottom"/>
            <w:gridSpan w:val="3"/>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3.87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1,786,657</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Canceled/forfeited/expired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(215,028)</w:t>
            </w: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CCEEFF"/>
            </w:tcBorders>
            <w:gridSpan w:val="2"/>
          </w:tcPr>
          <w:p>
            <w:pPr>
              <w:jc w:val="right"/>
              <w:ind w:right="78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8.05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January 31,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9,239,504</w:t>
            </w:r>
          </w:p>
        </w:tc>
        <w:tc>
          <w:tcPr>
            <w:tcW w:w="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788"/>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3,371,457</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20"/>
              <w:spacing w:after="0"/>
              <w:rPr>
                <w:sz w:val="20"/>
                <w:szCs w:val="20"/>
                <w:color w:val="auto"/>
              </w:rPr>
            </w:pPr>
            <w:r>
              <w:rPr>
                <w:rFonts w:ascii="Arial" w:cs="Arial" w:eastAsia="Arial" w:hAnsi="Arial"/>
                <w:sz w:val="18"/>
                <w:szCs w:val="18"/>
                <w:color w:val="auto"/>
              </w:rPr>
              <w:t>Vested and exercisable as of January 31, 2021</w:t>
            </w: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40" w:type="dxa"/>
            <w:vAlign w:val="bottom"/>
            <w:gridSpan w:val="2"/>
            <w:vMerge w:val="continue"/>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4,641,908</w:t>
            </w:r>
          </w:p>
        </w:tc>
        <w:tc>
          <w:tcPr>
            <w:tcW w:w="1100" w:type="dxa"/>
            <w:vAlign w:val="bottom"/>
            <w:gridSpan w:val="3"/>
          </w:tcPr>
          <w:p>
            <w:pPr>
              <w:jc w:val="right"/>
              <w:ind w:right="788"/>
              <w:spacing w:after="0" w:line="203"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3" w:lineRule="exact"/>
              <w:rPr>
                <w:sz w:val="20"/>
                <w:szCs w:val="20"/>
                <w:color w:val="auto"/>
              </w:rPr>
            </w:pPr>
            <w:r>
              <w:rPr>
                <w:rFonts w:ascii="Arial" w:cs="Arial" w:eastAsia="Arial" w:hAnsi="Arial"/>
                <w:sz w:val="18"/>
                <w:szCs w:val="18"/>
                <w:color w:val="auto"/>
                <w:w w:val="91"/>
              </w:rPr>
              <w:t>3.98</w:t>
            </w:r>
          </w:p>
        </w:tc>
        <w:tc>
          <w:tcPr>
            <w:tcW w:w="1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6.6</w:t>
            </w: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1,708,663</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There were no options granted for the fiscal year ended January 31, 2021. The weighted-average grant date fair value of options granted to employees during the fiscal years ended January 31, 2020 and 2019 was $25.17 and $6.28, respectively. The intrinsic value of the options exercised, which represents the difference between the fair market value of our common stock on the date of exercise and the exercise price of each option, was $1,786.7 million, $767.3 million, and $60.8 million during the fiscal years ended January 31, 2021, 2020, and 2019, respectively. As of January 31, 2021, unrecognized stock-based compensation expense related to outstanding unvested stock options was $46.7 million, which is expected to be recognized over a weighted-average period of 1.4 years.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Black-Scholes assumptions used to value the employee options at the grant dates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4"/>
                <w:szCs w:val="14"/>
                <w:b w:val="1"/>
                <w:bCs w:val="1"/>
                <w:color w:val="auto"/>
                <w:w w:val="95"/>
              </w:rPr>
              <w:t>Year ended January 31,</w:t>
            </w:r>
          </w:p>
        </w:tc>
        <w:tc>
          <w:tcPr>
            <w:tcW w:w="1460" w:type="dxa"/>
            <w:vAlign w:val="bottom"/>
            <w:tcBorders>
              <w:bottom w:val="single" w:sz="8" w:color="auto"/>
            </w:tcBorders>
          </w:tcPr>
          <w:p>
            <w:pPr>
              <w:spacing w:after="0"/>
              <w:rPr>
                <w:sz w:val="16"/>
                <w:szCs w:val="16"/>
                <w:color w:val="auto"/>
              </w:rPr>
            </w:pPr>
          </w:p>
        </w:tc>
      </w:tr>
      <w:tr>
        <w:trPr>
          <w:trHeight w:val="187"/>
        </w:trPr>
        <w:tc>
          <w:tcPr>
            <w:tcW w:w="5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2020</w:t>
            </w:r>
          </w:p>
        </w:tc>
        <w:tc>
          <w:tcPr>
            <w:tcW w:w="3720" w:type="dxa"/>
            <w:vAlign w:val="bottom"/>
            <w:gridSpan w:val="4"/>
          </w:tcPr>
          <w:p>
            <w:pPr>
              <w:jc w:val="right"/>
              <w:ind w:right="1170"/>
              <w:spacing w:after="0"/>
              <w:rPr>
                <w:sz w:val="20"/>
                <w:szCs w:val="20"/>
                <w:color w:val="auto"/>
              </w:rPr>
            </w:pPr>
            <w:r>
              <w:rPr>
                <w:rFonts w:ascii="Arial" w:cs="Arial" w:eastAsia="Arial" w:hAnsi="Arial"/>
                <w:sz w:val="14"/>
                <w:szCs w:val="14"/>
                <w:b w:val="1"/>
                <w:bCs w:val="1"/>
                <w:color w:val="auto"/>
              </w:rPr>
              <w:t>2019</w:t>
            </w:r>
          </w:p>
        </w:tc>
      </w:tr>
      <w:tr>
        <w:trPr>
          <w:trHeight w:val="224"/>
        </w:trPr>
        <w:tc>
          <w:tcPr>
            <w:tcW w:w="5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- 6.2</w:t>
            </w:r>
          </w:p>
        </w:tc>
      </w:tr>
      <w:tr>
        <w:trPr>
          <w:trHeight w:val="229"/>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1360" w:type="dxa"/>
            <w:vAlign w:val="bottom"/>
          </w:tcPr>
          <w:p>
            <w:pPr>
              <w:jc w:val="right"/>
              <w:spacing w:after="0"/>
              <w:rPr>
                <w:sz w:val="20"/>
                <w:szCs w:val="20"/>
                <w:color w:val="auto"/>
              </w:rPr>
            </w:pPr>
            <w:r>
              <w:rPr>
                <w:rFonts w:ascii="Arial" w:cs="Arial" w:eastAsia="Arial" w:hAnsi="Arial"/>
                <w:sz w:val="18"/>
                <w:szCs w:val="18"/>
                <w:color w:val="auto"/>
              </w:rPr>
              <w:t>49.9%</w:t>
            </w:r>
          </w:p>
        </w:tc>
        <w:tc>
          <w:tcPr>
            <w:tcW w:w="660" w:type="dxa"/>
            <w:vAlign w:val="bottom"/>
          </w:tcPr>
          <w:p>
            <w:pPr>
              <w:ind w:left="20"/>
              <w:spacing w:after="0"/>
              <w:rPr>
                <w:sz w:val="20"/>
                <w:szCs w:val="20"/>
                <w:color w:val="auto"/>
              </w:rPr>
            </w:pPr>
            <w:r>
              <w:rPr>
                <w:rFonts w:ascii="Arial" w:cs="Arial" w:eastAsia="Arial" w:hAnsi="Arial"/>
                <w:sz w:val="18"/>
                <w:szCs w:val="18"/>
                <w:color w:val="auto"/>
                <w:w w:val="99"/>
              </w:rPr>
              <w:t>- 53.2%</w:t>
            </w:r>
          </w:p>
        </w:tc>
        <w:tc>
          <w:tcPr>
            <w:tcW w:w="2260" w:type="dxa"/>
            <w:vAlign w:val="bottom"/>
            <w:gridSpan w:val="3"/>
          </w:tcPr>
          <w:p>
            <w:pPr>
              <w:jc w:val="right"/>
              <w:spacing w:after="0"/>
              <w:rPr>
                <w:sz w:val="20"/>
                <w:szCs w:val="20"/>
                <w:color w:val="auto"/>
              </w:rPr>
            </w:pPr>
            <w:r>
              <w:rPr>
                <w:rFonts w:ascii="Arial" w:cs="Arial" w:eastAsia="Arial" w:hAnsi="Arial"/>
                <w:sz w:val="18"/>
                <w:szCs w:val="18"/>
                <w:color w:val="auto"/>
              </w:rPr>
              <w:t>44.6%</w:t>
            </w:r>
          </w:p>
        </w:tc>
        <w:tc>
          <w:tcPr>
            <w:tcW w:w="1460" w:type="dxa"/>
            <w:vAlign w:val="bottom"/>
          </w:tcPr>
          <w:p>
            <w:pPr>
              <w:ind w:left="20"/>
              <w:spacing w:after="0"/>
              <w:rPr>
                <w:sz w:val="20"/>
                <w:szCs w:val="20"/>
                <w:color w:val="auto"/>
              </w:rPr>
            </w:pPr>
            <w:r>
              <w:rPr>
                <w:rFonts w:ascii="Arial" w:cs="Arial" w:eastAsia="Arial" w:hAnsi="Arial"/>
                <w:sz w:val="18"/>
                <w:szCs w:val="18"/>
                <w:color w:val="auto"/>
              </w:rPr>
              <w:t>- 48.2%</w:t>
            </w:r>
          </w:p>
        </w:tc>
      </w:tr>
      <w:tr>
        <w:trPr>
          <w:trHeight w:val="230"/>
        </w:trPr>
        <w:tc>
          <w:tcPr>
            <w:tcW w:w="5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- 2.5%</w:t>
            </w:r>
          </w:p>
        </w:tc>
        <w:tc>
          <w:tcPr>
            <w:tcW w:w="2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w:t>
            </w:r>
          </w:p>
        </w:tc>
      </w:tr>
      <w:tr>
        <w:trPr>
          <w:trHeight w:val="230"/>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2020" w:type="dxa"/>
            <w:vAlign w:val="bottom"/>
            <w:gridSpan w:val="2"/>
          </w:tcPr>
          <w:p>
            <w:pPr>
              <w:jc w:val="center"/>
              <w:ind w:left="714"/>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bl>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assumptions and estimates were determined as follows:</w:t>
      </w:r>
    </w:p>
    <w:p>
      <w:pPr>
        <w:spacing w:after="0" w:line="117" w:lineRule="exact"/>
        <w:rPr>
          <w:sz w:val="20"/>
          <w:szCs w:val="20"/>
          <w:color w:val="auto"/>
        </w:rPr>
      </w:pPr>
    </w:p>
    <w:p>
      <w:pPr>
        <w:jc w:val="both"/>
        <w:ind w:left="980" w:hanging="324"/>
        <w:spacing w:after="0" w:line="275" w:lineRule="auto"/>
        <w:tabs>
          <w:tab w:leader="none" w:pos="975"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color w:val="auto"/>
        </w:rPr>
        <w:t>Prior to our IPO, the fair value was determined by our board of directors, with input from management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valuation reports prepared by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 After our initial public offering, the fair value of each share of underlying common stock was based on the closing price of our Class A common stock as reported on the date of the grant.</w:t>
      </w:r>
    </w:p>
    <w:p>
      <w:pPr>
        <w:spacing w:after="0" w:line="68"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for the expected term of the options was based on the U.S. Treasury yield curve in effect at</w:t>
      </w:r>
      <w:r>
        <w:rPr>
          <w:rFonts w:ascii="Arial" w:cs="Arial" w:eastAsia="Arial" w:hAnsi="Arial"/>
          <w:sz w:val="18"/>
          <w:szCs w:val="18"/>
          <w:i w:val="1"/>
          <w:iCs w:val="1"/>
          <w:color w:val="auto"/>
        </w:rPr>
        <w:t xml:space="preserve"> </w:t>
      </w:r>
      <w:r>
        <w:rPr>
          <w:rFonts w:ascii="Arial" w:cs="Arial" w:eastAsia="Arial" w:hAnsi="Arial"/>
          <w:sz w:val="18"/>
          <w:szCs w:val="18"/>
          <w:color w:val="auto"/>
        </w:rPr>
        <w:t>the time of the grant.</w:t>
      </w:r>
    </w:p>
    <w:p>
      <w:pPr>
        <w:spacing w:after="0" w:line="62" w:lineRule="exact"/>
        <w:rPr>
          <w:rFonts w:ascii="Arial" w:cs="Arial" w:eastAsia="Arial" w:hAnsi="Arial"/>
          <w:sz w:val="18"/>
          <w:szCs w:val="18"/>
          <w:color w:val="auto"/>
        </w:rPr>
      </w:pPr>
    </w:p>
    <w:p>
      <w:pPr>
        <w:jc w:val="both"/>
        <w:ind w:left="980" w:hanging="324"/>
        <w:spacing w:after="0" w:line="25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options represents the period of time that options are expected to be outstanding. Our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exercise experience does not provide a reasonable basis upon which to estimate an expected term due to a lack of sufficient data. For stock options granted to employees, we estimate the expected term by using the simplified method. The simplified method calculates the expected term as the average of the time-to-vesting and the contractual life of the stock options. For stock options granted to nonemployees, the expected term equals the contractual term of the stock option.</w:t>
      </w:r>
    </w:p>
    <w:p>
      <w:pPr>
        <w:spacing w:after="0" w:line="79"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we have a short trading history for our common stock, the expected volatility was estimated by taking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 price volatility for industry peers, consisting of several public companies in our industry that are similar in size, stage of life cycle, or financial leverage, over a period equivalent to the expected term of the awards.</w:t>
      </w:r>
    </w:p>
    <w:p>
      <w:pPr>
        <w:spacing w:after="0" w:line="7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an expected dividend yield of zero percent was used.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RSU activity under our equity incentive plan and related information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7860" w:type="dxa"/>
            <w:vAlign w:val="bottom"/>
          </w:tcPr>
          <w:p>
            <w:pPr>
              <w:spacing w:after="0"/>
              <w:rPr>
                <w:sz w:val="11"/>
                <w:szCs w:val="11"/>
                <w:color w:val="auto"/>
              </w:rPr>
            </w:pPr>
          </w:p>
        </w:tc>
        <w:tc>
          <w:tcPr>
            <w:tcW w:w="164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Unvested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786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88"/>
        </w:trPr>
        <w:tc>
          <w:tcPr>
            <w:tcW w:w="786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RSUs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as of January 31, 2020</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1,964,668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w:t>
            </w:r>
          </w:p>
        </w:tc>
        <w:tc>
          <w:tcPr>
            <w:tcW w:w="0" w:type="dxa"/>
            <w:vAlign w:val="bottom"/>
          </w:tcPr>
          <w:p>
            <w:pPr>
              <w:spacing w:after="0"/>
              <w:rPr>
                <w:sz w:val="1"/>
                <w:szCs w:val="1"/>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3,351,979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241.32</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86.29</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Canceled/forfeited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(180,754)</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181.18</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January 31, 2021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4,510,730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January 31, 2021, unrecognized stock-based compensation expense related to outstanding unvested RSUs was $734.6 million, which is expected to be recognized over a weighted-average period of 2.7 years.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April 2019, we adopted the 2019 ESPP, which became effective in connection with the IPO. A total of 9,000,000 shares of our Class A common stock were initially reserved for issuance under the ESPP. The number of shares of our Class A common stock reserved for issuance automatically increases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w:t>
      </w:r>
    </w:p>
    <w:p>
      <w:pPr>
        <w:spacing w:after="0" w:line="8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7"/>
          <w:szCs w:val="17"/>
          <w:color w:val="auto"/>
        </w:rPr>
        <w:t>Under our current ESPP, Class A common stock will be purchased for the accounts of employees participating in the ESPP at a price per share equal to the lesser of (1) 85% of the fair market value of a share of our Class A common stock on the first date of an offering or (2) 85% of the fair market value of a share of our Class A common stock on the date of purchase. No employee may purchase shares under the ESPP at a rate in excess of $25,000 worth of our Class A common stock based on the fair market value per share of our Class A common stock at the beginning of an offering for each calendar year such purchase right is outstanding or 3,000 shares. The 2019 ESPP provides for, at maximum, 27 months offering periods with four offering dates, generally in June and December of each year. The first offering period began on April 18, 2019. During the fiscal years ended January 31, 2021 and 2020, 923,553 and 490,268 shares, respectively, of our Class A common stock were purchased under the ESPP.</w:t>
      </w:r>
    </w:p>
    <w:p>
      <w:pPr>
        <w:spacing w:after="0" w:line="7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January 31, 2021, unrecognized stock-based compensation expense related to the ESPP was $31.9 million, which is expected to be recognized over a weighted-average period of 0.4 years.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estimated the fair value of ESPP purchase rights using a Black-Scholes option-pricing model with the following assumptions: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20" w:type="dxa"/>
            <w:vAlign w:val="bottom"/>
            <w:gridSpan w:val="3"/>
          </w:tcPr>
          <w:p>
            <w:pPr>
              <w:jc w:val="right"/>
              <w:ind w:right="590"/>
              <w:spacing w:after="0"/>
              <w:rPr>
                <w:sz w:val="20"/>
                <w:szCs w:val="20"/>
                <w:color w:val="auto"/>
              </w:rPr>
            </w:pPr>
            <w:r>
              <w:rPr>
                <w:rFonts w:ascii="Arial" w:cs="Arial" w:eastAsia="Arial" w:hAnsi="Arial"/>
                <w:sz w:val="14"/>
                <w:szCs w:val="14"/>
                <w:b w:val="1"/>
                <w:bCs w:val="1"/>
                <w:color w:val="auto"/>
                <w:w w:val="97"/>
              </w:rPr>
              <w:t>Year ended January 31,</w:t>
            </w:r>
          </w:p>
        </w:tc>
        <w:tc>
          <w:tcPr>
            <w:tcW w:w="1460" w:type="dxa"/>
            <w:vAlign w:val="bottom"/>
          </w:tcPr>
          <w:p>
            <w:pPr>
              <w:spacing w:after="0"/>
              <w:rPr>
                <w:sz w:val="16"/>
                <w:szCs w:val="16"/>
                <w:color w:val="auto"/>
              </w:rPr>
            </w:pPr>
          </w:p>
        </w:tc>
      </w:tr>
      <w:tr>
        <w:trPr>
          <w:trHeight w:val="195"/>
        </w:trPr>
        <w:tc>
          <w:tcPr>
            <w:tcW w:w="5400" w:type="dxa"/>
            <w:vAlign w:val="bottom"/>
          </w:tcPr>
          <w:p>
            <w:pPr>
              <w:spacing w:after="0"/>
              <w:rPr>
                <w:sz w:val="16"/>
                <w:szCs w:val="16"/>
                <w:color w:val="auto"/>
              </w:rPr>
            </w:pPr>
          </w:p>
        </w:tc>
        <w:tc>
          <w:tcPr>
            <w:tcW w:w="206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2021</w:t>
            </w:r>
          </w:p>
        </w:tc>
        <w:tc>
          <w:tcPr>
            <w:tcW w:w="3680" w:type="dxa"/>
            <w:vAlign w:val="bottom"/>
            <w:gridSpan w:val="4"/>
          </w:tcPr>
          <w:p>
            <w:pPr>
              <w:jc w:val="center"/>
              <w:ind w:left="801"/>
              <w:spacing w:after="0"/>
              <w:rPr>
                <w:sz w:val="20"/>
                <w:szCs w:val="20"/>
                <w:color w:val="auto"/>
              </w:rPr>
            </w:pPr>
            <w:r>
              <w:rPr>
                <w:rFonts w:ascii="Arial" w:cs="Arial" w:eastAsia="Arial" w:hAnsi="Arial"/>
                <w:sz w:val="14"/>
                <w:szCs w:val="14"/>
                <w:b w:val="1"/>
                <w:bCs w:val="1"/>
                <w:color w:val="auto"/>
                <w:w w:val="89"/>
              </w:rPr>
              <w:t>2020</w:t>
            </w:r>
          </w:p>
        </w:tc>
      </w:tr>
      <w:tr>
        <w:trPr>
          <w:trHeight w:val="229"/>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- 2.1</w:t>
            </w: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- 2.1</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360" w:type="dxa"/>
            <w:vAlign w:val="bottom"/>
          </w:tcPr>
          <w:p>
            <w:pPr>
              <w:jc w:val="right"/>
              <w:spacing w:after="0"/>
              <w:rPr>
                <w:sz w:val="20"/>
                <w:szCs w:val="20"/>
                <w:color w:val="auto"/>
              </w:rPr>
            </w:pPr>
            <w:r>
              <w:rPr>
                <w:rFonts w:ascii="Arial" w:cs="Arial" w:eastAsia="Arial" w:hAnsi="Arial"/>
                <w:sz w:val="18"/>
                <w:szCs w:val="18"/>
                <w:color w:val="auto"/>
              </w:rPr>
              <w:t>40.3%</w:t>
            </w:r>
          </w:p>
        </w:tc>
        <w:tc>
          <w:tcPr>
            <w:tcW w:w="700" w:type="dxa"/>
            <w:vAlign w:val="bottom"/>
          </w:tcPr>
          <w:p>
            <w:pPr>
              <w:ind w:left="20"/>
              <w:spacing w:after="0"/>
              <w:rPr>
                <w:sz w:val="20"/>
                <w:szCs w:val="20"/>
                <w:color w:val="auto"/>
              </w:rPr>
            </w:pPr>
            <w:r>
              <w:rPr>
                <w:rFonts w:ascii="Arial" w:cs="Arial" w:eastAsia="Arial" w:hAnsi="Arial"/>
                <w:sz w:val="18"/>
                <w:szCs w:val="18"/>
                <w:color w:val="auto"/>
              </w:rPr>
              <w:t>- 75.0%</w:t>
            </w:r>
          </w:p>
        </w:tc>
        <w:tc>
          <w:tcPr>
            <w:tcW w:w="2220" w:type="dxa"/>
            <w:vAlign w:val="bottom"/>
            <w:gridSpan w:val="3"/>
          </w:tcPr>
          <w:p>
            <w:pPr>
              <w:jc w:val="right"/>
              <w:spacing w:after="0"/>
              <w:rPr>
                <w:sz w:val="20"/>
                <w:szCs w:val="20"/>
                <w:color w:val="auto"/>
              </w:rPr>
            </w:pPr>
            <w:r>
              <w:rPr>
                <w:rFonts w:ascii="Arial" w:cs="Arial" w:eastAsia="Arial" w:hAnsi="Arial"/>
                <w:sz w:val="18"/>
                <w:szCs w:val="18"/>
                <w:color w:val="auto"/>
              </w:rPr>
              <w:t>40.3%</w:t>
            </w:r>
          </w:p>
        </w:tc>
        <w:tc>
          <w:tcPr>
            <w:tcW w:w="1460" w:type="dxa"/>
            <w:vAlign w:val="bottom"/>
          </w:tcPr>
          <w:p>
            <w:pPr>
              <w:ind w:left="20"/>
              <w:spacing w:after="0"/>
              <w:rPr>
                <w:sz w:val="20"/>
                <w:szCs w:val="20"/>
                <w:color w:val="auto"/>
              </w:rPr>
            </w:pPr>
            <w:r>
              <w:rPr>
                <w:rFonts w:ascii="Arial" w:cs="Arial" w:eastAsia="Arial" w:hAnsi="Arial"/>
                <w:sz w:val="18"/>
                <w:szCs w:val="18"/>
                <w:color w:val="auto"/>
              </w:rPr>
              <w:t>- 56.2%</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- 2.5%</w:t>
            </w:r>
          </w:p>
        </w:tc>
        <w:tc>
          <w:tcPr>
            <w:tcW w:w="3680" w:type="dxa"/>
            <w:vAlign w:val="bottom"/>
            <w:gridSpan w:val="4"/>
            <w:shd w:val="clear" w:color="auto" w:fill="CCEEFF"/>
          </w:tcPr>
          <w:p>
            <w:pPr>
              <w:jc w:val="center"/>
              <w:ind w:left="781"/>
              <w:spacing w:after="0"/>
              <w:rPr>
                <w:sz w:val="20"/>
                <w:szCs w:val="20"/>
                <w:color w:val="auto"/>
              </w:rPr>
            </w:pPr>
            <w:r>
              <w:rPr>
                <w:rFonts w:ascii="Arial" w:cs="Arial" w:eastAsia="Arial" w:hAnsi="Arial"/>
                <w:sz w:val="16"/>
                <w:szCs w:val="16"/>
                <w:color w:val="auto"/>
                <w:w w:val="94"/>
              </w:rPr>
              <w:t>1.5% - 2.5%</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060" w:type="dxa"/>
            <w:vAlign w:val="bottom"/>
            <w:gridSpan w:val="2"/>
          </w:tcPr>
          <w:p>
            <w:pPr>
              <w:jc w:val="center"/>
              <w:ind w:left="674"/>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bl>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Shares Reserved for Charitable Donations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fiscal year 2020, our board of directors approved the issuance of 500,000 shares of Class A common stock for the sole purpose of being transferred to nonprofit organizations. As of January 31, 2021, 94,844 shares of Class A common stock have been transferred to a donor advised fund through an unaffiliated nonprofit organization. We recorded a non-cash charge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$23.3 million for the fair value of the donated shares, which was recorded in general and administrative expense in the consolidated statements of operations for the fiscal year ended January 31, 2021.</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stock-based compensation expense by line item in the accompanying consolidated statements of operations is summarized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3"/>
              </w:rPr>
              <w:t>Year Ended January 31,</w:t>
            </w: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34,960</w:t>
            </w: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50,161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11,645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146,377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44,320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Income Taxes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6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60" w:type="dxa"/>
            <w:vAlign w:val="bottom"/>
            <w:gridSpan w:val="5"/>
          </w:tcPr>
          <w:p>
            <w:pPr>
              <w:ind w:left="500"/>
              <w:spacing w:after="0"/>
              <w:rPr>
                <w:sz w:val="20"/>
                <w:szCs w:val="20"/>
                <w:color w:val="auto"/>
              </w:rPr>
            </w:pPr>
            <w:r>
              <w:rPr>
                <w:rFonts w:ascii="Arial" w:cs="Arial" w:eastAsia="Arial" w:hAnsi="Arial"/>
                <w:sz w:val="18"/>
                <w:szCs w:val="18"/>
                <w:color w:val="auto"/>
              </w:rPr>
              <w:t>The components of the net income before the provision for income taxes were as follows: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4"/>
              </w:rPr>
              <w:t>Year Ended January 31,</w:t>
            </w:r>
          </w:p>
        </w:tc>
        <w:tc>
          <w:tcPr>
            <w:tcW w:w="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663,909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14,125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10,094</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678,034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26,362</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provision for income taxes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8"/>
              </w:rPr>
              <w:t>Year Ended January 31,</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64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18"/>
        </w:trPr>
        <w:tc>
          <w:tcPr>
            <w:tcW w:w="6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5"/>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Federal</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64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3,933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r>
      <w:tr>
        <w:trPr>
          <w:trHeight w:val="223"/>
        </w:trPr>
        <w:tc>
          <w:tcPr>
            <w:tcW w:w="64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income tax expense</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10"/>
        </w:trPr>
        <w:tc>
          <w:tcPr>
            <w:tcW w:w="6480" w:type="dxa"/>
            <w:vAlign w:val="bottom"/>
          </w:tcPr>
          <w:p>
            <w:pPr>
              <w:ind w:left="20"/>
              <w:spacing w:after="0"/>
              <w:rPr>
                <w:sz w:val="20"/>
                <w:szCs w:val="20"/>
                <w:color w:val="auto"/>
              </w:rPr>
            </w:pPr>
            <w:r>
              <w:rPr>
                <w:rFonts w:ascii="Arial" w:cs="Arial" w:eastAsia="Arial" w:hAnsi="Arial"/>
                <w:sz w:val="18"/>
                <w:szCs w:val="18"/>
                <w:color w:val="auto"/>
              </w:rPr>
              <w:t>Deferred:</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tcPr>
          <w:p>
            <w:pPr>
              <w:ind w:left="36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income tax expense</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5,718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provision for income taxes differs from the amount computed by applying the statutory federal tax rate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Year Ended January 31,</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7"/>
        </w:trPr>
        <w:tc>
          <w:tcPr>
            <w:tcW w:w="60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18"/>
        </w:trPr>
        <w:tc>
          <w:tcPr>
            <w:tcW w:w="6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5"/>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at federal statutory rate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142,387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5,536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1,764</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State taxes</w:t>
            </w:r>
          </w:p>
        </w:tc>
        <w:tc>
          <w:tcPr>
            <w:tcW w:w="4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67</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(2,096)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(1,627)</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400" w:type="dxa"/>
            <w:vAlign w:val="bottom"/>
          </w:tcPr>
          <w:p>
            <w:pPr>
              <w:spacing w:after="0"/>
              <w:rPr>
                <w:sz w:val="19"/>
                <w:szCs w:val="19"/>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(302,362)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(32,070)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1,662</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items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809</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400" w:type="dxa"/>
            <w:vAlign w:val="bottom"/>
          </w:tcPr>
          <w:p>
            <w:pPr>
              <w:spacing w:after="0"/>
              <w:rPr>
                <w:sz w:val="19"/>
                <w:szCs w:val="19"/>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(3,170)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93"/>
              <w:spacing w:after="0"/>
              <w:rPr>
                <w:sz w:val="20"/>
                <w:szCs w:val="20"/>
                <w:color w:val="auto"/>
              </w:rPr>
            </w:pPr>
            <w:r>
              <w:rPr>
                <w:rFonts w:ascii="Arial" w:cs="Arial" w:eastAsia="Arial" w:hAnsi="Arial"/>
                <w:sz w:val="18"/>
                <w:szCs w:val="18"/>
                <w:color w:val="auto"/>
              </w:rPr>
              <w:t>(2,808)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(289)</w:t>
            </w: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uncertainties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515</w:t>
            </w: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40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165,869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133"/>
              <w:spacing w:after="0"/>
              <w:rPr>
                <w:sz w:val="20"/>
                <w:szCs w:val="20"/>
                <w:color w:val="auto"/>
              </w:rPr>
            </w:pPr>
            <w:r>
              <w:rPr>
                <w:rFonts w:ascii="Arial" w:cs="Arial" w:eastAsia="Arial" w:hAnsi="Arial"/>
                <w:sz w:val="18"/>
                <w:szCs w:val="18"/>
                <w:color w:val="auto"/>
              </w:rPr>
              <w:t>30,932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(1,438)</w:t>
            </w: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648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(698)</w:t>
            </w:r>
          </w:p>
        </w:tc>
      </w:tr>
      <w:tr>
        <w:trPr>
          <w:trHeight w:val="223"/>
        </w:trPr>
        <w:tc>
          <w:tcPr>
            <w:tcW w:w="6020" w:type="dxa"/>
            <w:vAlign w:val="bottom"/>
          </w:tcPr>
          <w:p>
            <w:pPr>
              <w:ind w:left="36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5,718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1,057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765</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Effective tax rate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r>
    </w:tbl>
    <w:p>
      <w:pPr>
        <w:spacing w:after="0" w:line="202" w:lineRule="exact"/>
        <w:rPr>
          <w:sz w:val="20"/>
          <w:szCs w:val="20"/>
          <w:color w:val="auto"/>
        </w:rPr>
      </w:pPr>
    </w:p>
    <w:p>
      <w:pPr>
        <w:jc w:val="both"/>
        <w:ind w:right="20" w:firstLine="486"/>
        <w:spacing w:after="0" w:line="284" w:lineRule="auto"/>
        <w:rPr>
          <w:sz w:val="20"/>
          <w:szCs w:val="20"/>
          <w:color w:val="auto"/>
        </w:rPr>
      </w:pPr>
      <w:r>
        <w:rPr>
          <w:rFonts w:ascii="Arial" w:cs="Arial" w:eastAsia="Arial" w:hAnsi="Arial"/>
          <w:sz w:val="17"/>
          <w:szCs w:val="17"/>
          <w:color w:val="auto"/>
        </w:rPr>
        <w:t>Deferred income taxes result from differences in the recognition of amounts for tax and financial reporting purposes, as well as operating loss and tax credit carryforwards. Significant components of our deferred income tax assets as of January 31, 2021 and 2020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As of January 31,</w:t>
            </w:r>
          </w:p>
        </w:tc>
        <w:tc>
          <w:tcPr>
            <w:tcW w:w="1160" w:type="dxa"/>
            <w:vAlign w:val="bottom"/>
            <w:tcBorders>
              <w:bottom w:val="single" w:sz="8" w:color="auto"/>
            </w:tcBorders>
          </w:tcPr>
          <w:p>
            <w:pPr>
              <w:spacing w:after="0"/>
              <w:rPr>
                <w:sz w:val="16"/>
                <w:szCs w:val="16"/>
                <w:color w:val="auto"/>
              </w:rPr>
            </w:pPr>
          </w:p>
        </w:tc>
      </w:tr>
      <w:tr>
        <w:trPr>
          <w:trHeight w:val="187"/>
        </w:trPr>
        <w:tc>
          <w:tcPr>
            <w:tcW w:w="756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218"/>
        </w:trPr>
        <w:tc>
          <w:tcPr>
            <w:tcW w:w="7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60" w:type="dxa"/>
            <w:vAlign w:val="bottom"/>
            <w:gridSpan w:val="3"/>
          </w:tcPr>
          <w:p>
            <w:pPr>
              <w:jc w:val="right"/>
              <w:ind w:right="15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8"/>
                <w:szCs w:val="18"/>
                <w:color w:val="auto"/>
              </w:rPr>
            </w:pPr>
          </w:p>
        </w:tc>
      </w:tr>
      <w:tr>
        <w:trPr>
          <w:trHeight w:val="236"/>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1060" w:type="dxa"/>
            <w:vAlign w:val="bottom"/>
          </w:tcPr>
          <w:p>
            <w:pPr>
              <w:jc w:val="right"/>
              <w:ind w:right="856"/>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341,487</w:t>
            </w:r>
          </w:p>
        </w:tc>
        <w:tc>
          <w:tcPr>
            <w:tcW w:w="120" w:type="dxa"/>
            <w:vAlign w:val="bottom"/>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37,507</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 carryforwards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5,701</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37,255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4,145</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Accruals and reserves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11,586</w:t>
            </w:r>
          </w:p>
        </w:tc>
      </w:tr>
      <w:tr>
        <w:trPr>
          <w:trHeight w:val="229"/>
        </w:trPr>
        <w:tc>
          <w:tcPr>
            <w:tcW w:w="756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6,565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5,234</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27,842</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17,716</w:t>
            </w:r>
          </w:p>
        </w:tc>
      </w:tr>
      <w:tr>
        <w:trPr>
          <w:trHeight w:val="223"/>
        </w:trPr>
        <w:tc>
          <w:tcPr>
            <w:tcW w:w="7560" w:type="dxa"/>
            <w:vAlign w:val="bottom"/>
          </w:tcPr>
          <w:p>
            <w:pPr>
              <w:ind w:left="680"/>
              <w:spacing w:after="0"/>
              <w:rPr>
                <w:sz w:val="20"/>
                <w:szCs w:val="20"/>
                <w:color w:val="auto"/>
              </w:rPr>
            </w:pPr>
            <w:r>
              <w:rPr>
                <w:rFonts w:ascii="Arial" w:cs="Arial" w:eastAsia="Arial" w:hAnsi="Arial"/>
                <w:sz w:val="18"/>
                <w:szCs w:val="18"/>
                <w:color w:val="auto"/>
              </w:rPr>
              <w:t>Total deferred tax assets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454,535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81,889</w:t>
            </w:r>
          </w:p>
        </w:tc>
      </w:tr>
      <w:tr>
        <w:trPr>
          <w:trHeight w:val="230"/>
        </w:trPr>
        <w:tc>
          <w:tcPr>
            <w:tcW w:w="7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Valuation allowance</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(335,051)</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(36,353)</w:t>
            </w:r>
          </w:p>
        </w:tc>
      </w:tr>
      <w:tr>
        <w:trPr>
          <w:trHeight w:val="223"/>
        </w:trPr>
        <w:tc>
          <w:tcPr>
            <w:tcW w:w="7560" w:type="dxa"/>
            <w:vAlign w:val="bottom"/>
          </w:tcPr>
          <w:p>
            <w:pPr>
              <w:ind w:left="680"/>
              <w:spacing w:after="0"/>
              <w:rPr>
                <w:sz w:val="20"/>
                <w:szCs w:val="20"/>
                <w:color w:val="auto"/>
              </w:rPr>
            </w:pPr>
            <w:r>
              <w:rPr>
                <w:rFonts w:ascii="Arial" w:cs="Arial" w:eastAsia="Arial" w:hAnsi="Arial"/>
                <w:sz w:val="18"/>
                <w:szCs w:val="18"/>
                <w:color w:val="auto"/>
              </w:rPr>
              <w:t>Total deferred tax assets net of valuation allowance</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119,484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45,536</w:t>
            </w:r>
          </w:p>
        </w:tc>
      </w:tr>
      <w:tr>
        <w:trPr>
          <w:trHeight w:val="257"/>
        </w:trPr>
        <w:tc>
          <w:tcPr>
            <w:tcW w:w="75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and intangible assets</w:t>
            </w:r>
          </w:p>
        </w:tc>
        <w:tc>
          <w:tcPr>
            <w:tcW w:w="10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(6,744)</w:t>
            </w:r>
          </w:p>
        </w:tc>
      </w:tr>
      <w:tr>
        <w:trPr>
          <w:trHeight w:val="230"/>
        </w:trPr>
        <w:tc>
          <w:tcPr>
            <w:tcW w:w="7560" w:type="dxa"/>
            <w:vAlign w:val="bottom"/>
          </w:tcPr>
          <w:p>
            <w:pPr>
              <w:ind w:left="360"/>
              <w:spacing w:after="0"/>
              <w:rPr>
                <w:sz w:val="20"/>
                <w:szCs w:val="20"/>
                <w:color w:val="auto"/>
              </w:rPr>
            </w:pPr>
            <w:r>
              <w:rPr>
                <w:rFonts w:ascii="Arial" w:cs="Arial" w:eastAsia="Arial" w:hAnsi="Arial"/>
                <w:sz w:val="18"/>
                <w:szCs w:val="18"/>
                <w:color w:val="auto"/>
              </w:rPr>
              <w:t>Deferred contract acquisition costs</w:t>
            </w:r>
          </w:p>
        </w:tc>
        <w:tc>
          <w:tcPr>
            <w:tcW w:w="10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(76,593)</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(21,156)</w:t>
            </w:r>
          </w:p>
        </w:tc>
      </w:tr>
      <w:tr>
        <w:trPr>
          <w:trHeight w:val="230"/>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right-of-use assets</w:t>
            </w:r>
          </w:p>
        </w:tc>
        <w:tc>
          <w:tcPr>
            <w:tcW w:w="10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(25,550)</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(16,453)</w:t>
            </w:r>
          </w:p>
        </w:tc>
      </w:tr>
      <w:tr>
        <w:trPr>
          <w:trHeight w:val="223"/>
        </w:trPr>
        <w:tc>
          <w:tcPr>
            <w:tcW w:w="75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 tax liabilities</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(119,372)</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(44,353)</w:t>
            </w:r>
          </w:p>
        </w:tc>
      </w:tr>
      <w:tr>
        <w:trPr>
          <w:trHeight w:val="236"/>
        </w:trPr>
        <w:tc>
          <w:tcPr>
            <w:tcW w:w="75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106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w:t>
            </w:r>
          </w:p>
        </w:tc>
      </w:tr>
      <w:tr>
        <w:trPr>
          <w:trHeight w:val="20"/>
        </w:trPr>
        <w:tc>
          <w:tcPr>
            <w:tcW w:w="75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recognize deferred tax assets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 planning strategies, carryback potential if permitted under the tax law,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 Management believes it is more likely than not that some deferred tax assets will not be realized. Accordingly, a valuation allowance has been recorded on U.S. and U.K. deferred tax assets as of January 31, 2021 and 2020. The valuation allowance increased $298.7 million and $35.5 million during the fiscal years ended January 31, 2021 and 2020, respectively, and was primarily attributable to net operating losses generated as a result of stock-based compensation windfall benefits. The valuation allowance decreased $2.3 million during the fiscal year ended January 31, 2019 and was primarily attributable to deferred tax liabilities generated from the capitalization of commissions for GAAP purposes.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intend to continue maintaining a full valuation allowance on our deferred tax assets in the U.S. and U.K. until there is sufficient evidence to support the reversal of all or some portion of these allowances. In our valuation allowance evaluation, we give more weight to evidence that can be objectively verified than to evidence that cannot be objectively verified. Our consideration of the evidence requires management to make a number of significant judgments, estimates, and assumptions about highly complex and inherently uncertain matters. Given our current earnings and anticipated future earnings, we believe that there is a reasonable possibility that in the foreseeable future, sufficient positive evidence may become available that results in a conclusion that a portion of the valuation allowance will no longer be needed. Release of the valuation allowance would result in the recognition of certain deferred tax assets and a decrease to income tax expense for the period the release is recorded. However, the exact timing and amount of the valuation allowance release are subject to change on the basis of the level of profitability (pretax income adjusted for permanent differences) that we are able to actually achieve.</w:t>
      </w:r>
    </w:p>
    <w:p>
      <w:pPr>
        <w:spacing w:after="0" w:line="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January 31, 2021, we had net operating loss carryforwards of approximately $1,264.3 million for federal income tax purposes, a small portion of which will begin to expire in 2032 if unused. We had net operating loss carryforwards of approximately $797.0 million for state income tax purposes, which will begin to expire in the year 2027 if unused. We also had certain foreign net operating loss carryforwards of $34.1 million, which have an indefinite life.</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January 31, 2021, we also had research and development credit carryforwards of approximately $13.6 million for federal income tax and $11.4 million for state income tax purposes. The federal research and development tax credit will begin to expire in 2036 if unused. State research and development tax credits carry forward indefinitely.</w:t>
      </w:r>
    </w:p>
    <w:p>
      <w:pPr>
        <w:spacing w:after="0" w:line="7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federal and state net operating loss carryforwards may be subject to significant limitations under Section 382 and Section 383 of the Internal Revenue Code of 1986 and similar provisions under state law. The Tax Reform Act of 1986 contains provisions that limit the federal net operating loss carryforwards that may be used in any given year in the event of special occurrences, including significant ownership changes. We have completed a Section 382 review and determined that none of our operating losses will expire solely due to Section 382 limitation(s).</w:t>
      </w:r>
    </w:p>
    <w:p>
      <w:pPr>
        <w:spacing w:after="0" w:line="63"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We indefinitely reinvest earnings from our foreign subsidiaries and therefore no deferred tax liability has been recognized on the basis difference created by such earnings. We have not provided foreign withholding taxes for any undistributed earnings of our foreign subsidiaries.</w:t>
      </w:r>
    </w:p>
    <w:p>
      <w:pPr>
        <w:sectPr>
          <w:pgSz w:w="11900" w:h="16838" w:orient="portrait"/>
          <w:cols w:equalWidth="0" w:num="1">
            <w:col w:w="11240"/>
          </w:cols>
          <w:pgMar w:left="320" w:top="125" w:right="339" w:bottom="1440" w:gutter="0" w:footer="0" w:header="0"/>
        </w:sectPr>
      </w:pPr>
    </w:p>
    <w:p>
      <w:pPr>
        <w:spacing w:after="0" w:line="3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reconciliation of the beginning and ending balance of total unrecognized tax benefits is as follows:</w:t>
      </w:r>
    </w:p>
    <w:p>
      <w:pPr>
        <w:spacing w:after="0" w:line="200" w:lineRule="exact"/>
        <w:rPr>
          <w:sz w:val="20"/>
          <w:szCs w:val="20"/>
          <w:color w:val="auto"/>
        </w:rPr>
      </w:pPr>
    </w:p>
    <w:p>
      <w:pPr>
        <w:spacing w:after="0" w:line="3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 January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Increases related to current year’s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 January 31, 2019</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Increases related to current year’s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 January 31, 2020</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Increases related to current year’s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Increases related to prior year’s tax positions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Current year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Lapse of statute of limitations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 January 31, 2021</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Unrecognized Tax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12858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1,976</w:t>
            </w:r>
          </w:p>
        </w:tc>
      </w:tr>
      <w:tr>
        <w:trPr>
          <w:trHeight w:val="230"/>
        </w:trPr>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r>
      <w:tr>
        <w:trPr>
          <w:trHeight w:val="222"/>
        </w:trPr>
        <w:tc>
          <w:tcPr>
            <w:tcW w:w="8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2,778</w:t>
            </w:r>
          </w:p>
        </w:tc>
      </w:tr>
      <w:tr>
        <w:trPr>
          <w:trHeight w:val="230"/>
        </w:trPr>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5,328</w:t>
            </w:r>
          </w:p>
        </w:tc>
      </w:tr>
      <w:tr>
        <w:trPr>
          <w:trHeight w:val="222"/>
        </w:trPr>
        <w:tc>
          <w:tcPr>
            <w:tcW w:w="8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8,106</w:t>
            </w:r>
          </w:p>
        </w:tc>
      </w:tr>
      <w:tr>
        <w:trPr>
          <w:trHeight w:val="230"/>
        </w:trPr>
        <w:tc>
          <w:tcPr>
            <w:tcW w:w="8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6,001</w:t>
            </w:r>
          </w:p>
        </w:tc>
      </w:tr>
      <w:tr>
        <w:trPr>
          <w:trHeight w:val="230"/>
        </w:trPr>
        <w:tc>
          <w:tcPr>
            <w:tcW w:w="8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8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230"/>
        </w:trPr>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r>
        <w:trPr>
          <w:trHeight w:val="223"/>
        </w:trPr>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14,884</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60" w:space="720"/>
            <w:col w:w="2060"/>
          </w:cols>
          <w:pgMar w:left="320" w:top="125" w:right="339" w:bottom="1440" w:gutter="0" w:footer="0" w:header="0"/>
          <w:type w:val="continuous"/>
        </w:sectPr>
      </w:pPr>
    </w:p>
    <w:p>
      <w:pPr>
        <w:spacing w:after="0" w:line="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Included in the balance of unrecognized tax benefits as of January 31, 2021, 2020, and 2019, are $2.0 million, $2.0 million, and $1.0 million, respectively, of tax benefits that, if recognized, would affect the effective tax rate.</w:t>
      </w:r>
    </w:p>
    <w:p>
      <w:pPr>
        <w:spacing w:after="0" w:line="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recognize interest and penalties related to unrecognized tax benefits as income tax expense. During the fiscal year ended January 31, 2021, we recognized interest and penalties of $0.1 million, and had a cumulative liability of $0.2 million as of January 31, 2021. During the fiscal year ended January 31, 2020, we recognized interest and penalties of $0.3 million, and had a cumulative liability of $0.3 million as of January 31, 2020. During the fiscal year ended January 31, 2019, we recognized no interest and penalties.</w:t>
      </w:r>
    </w:p>
    <w:p>
      <w:pPr>
        <w:spacing w:after="0" w:line="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file income tax returns in the U.S. federal jurisdiction, various state jurisdictions, and various foreign jurisdictions. As of January 31, 2021, all of the years remain open to examination by the federal and state tax authorities, for three or four years from the tax year in which net operating losses or tax credits are utilized. We believe that an adequate provision has been made for any adjustments that may result from tax examinations. Although the timing of the resolution, settlement, and closure of audits is not certain, we do not believe it is reasonably possible that our unrecognized tax benefits will materially change in the next 12 months.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March 27, 2020, the Coronavirus Aid, Relief, and Economic Security Act was passed into law. On December 27, 2020, the Consolidated Appropriations Act (2021) was passed into law. Both amended portions of relevant tax law and did not have a significant impact on the provision for income taxes for the fiscal year ended January 31, 2021. We will continue to monitor future guidance regarding these acts and other similar stimulus measures to determine any future impacts.</w:t>
      </w:r>
    </w:p>
    <w:p>
      <w:pPr>
        <w:spacing w:after="0" w:line="183"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 Attributable to Common Stockholders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stockholders for the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Year Ended January 31,</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Class B</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Class A</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50"/>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Numerator:</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80" w:type="dxa"/>
            <w:vAlign w:val="bottom"/>
            <w:gridSpan w:val="9"/>
          </w:tcPr>
          <w:p>
            <w:pPr>
              <w:jc w:val="right"/>
              <w:ind w:right="19"/>
              <w:spacing w:after="0"/>
              <w:rPr>
                <w:sz w:val="20"/>
                <w:szCs w:val="20"/>
                <w:color w:val="auto"/>
              </w:rPr>
            </w:pPr>
            <w:r>
              <w:rPr>
                <w:rFonts w:ascii="Arial" w:cs="Arial" w:eastAsia="Arial" w:hAnsi="Arial"/>
                <w:sz w:val="14"/>
                <w:szCs w:val="14"/>
                <w:b w:val="1"/>
                <w:bCs w:val="1"/>
                <w:color w:val="auto"/>
              </w:rPr>
              <w:t>(in thousands, except share and per share data)</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432,968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239,348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7,584</w:t>
            </w:r>
          </w:p>
        </w:tc>
        <w:tc>
          <w:tcPr>
            <w:tcW w:w="0" w:type="dxa"/>
            <w:vAlign w:val="bottom"/>
          </w:tcPr>
          <w:p>
            <w:pPr>
              <w:spacing w:after="0"/>
              <w:rPr>
                <w:sz w:val="1"/>
                <w:szCs w:val="1"/>
                <w:color w:val="auto"/>
              </w:rPr>
            </w:pPr>
          </w:p>
        </w:tc>
      </w:tr>
      <w:tr>
        <w:trPr>
          <w:trHeight w:val="166"/>
        </w:trPr>
        <w:tc>
          <w:tcPr>
            <w:tcW w:w="4120" w:type="dxa"/>
            <w:vAlign w:val="bottom"/>
          </w:tcPr>
          <w:p>
            <w:pPr>
              <w:ind w:left="20"/>
              <w:spacing w:after="0" w:line="166" w:lineRule="exact"/>
              <w:rPr>
                <w:sz w:val="20"/>
                <w:szCs w:val="20"/>
                <w:color w:val="auto"/>
              </w:rPr>
            </w:pPr>
            <w:r>
              <w:rPr>
                <w:rFonts w:ascii="Arial" w:cs="Arial" w:eastAsia="Arial" w:hAnsi="Arial"/>
                <w:sz w:val="16"/>
                <w:szCs w:val="16"/>
                <w:color w:val="auto"/>
              </w:rPr>
              <w:t>Less: undistributed earnings attributable to participating</w:t>
            </w:r>
          </w:p>
        </w:tc>
        <w:tc>
          <w:tcPr>
            <w:tcW w:w="16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(3,555)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(7,584)</w:t>
            </w:r>
          </w:p>
        </w:tc>
        <w:tc>
          <w:tcPr>
            <w:tcW w:w="0" w:type="dxa"/>
            <w:vAlign w:val="bottom"/>
          </w:tcPr>
          <w:p>
            <w:pPr>
              <w:spacing w:after="0"/>
              <w:rPr>
                <w:sz w:val="1"/>
                <w:szCs w:val="1"/>
                <w:color w:val="auto"/>
              </w:rPr>
            </w:pPr>
          </w:p>
        </w:tc>
      </w:tr>
      <w:tr>
        <w:trPr>
          <w:trHeight w:val="20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securities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stockholders, basic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432,968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238,559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rPr>
              <w:t>Reallocation of net income attributable to common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(14,321)</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14,321</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stockholders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common stockholders,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418,647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252,880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1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2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5"/>
              </w:rPr>
              <w:t>Weighted-average shares used in computing net income per</w:t>
            </w:r>
          </w:p>
        </w:tc>
        <w:tc>
          <w:tcPr>
            <w:tcW w:w="1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96"/>
              </w:rPr>
              <w:t>183,015,245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100,838,409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58,541,269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6"/>
              </w:rPr>
              <w:t>175,100,067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84,483,094</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attributable to common stockholders, basic</w:t>
            </w:r>
          </w:p>
        </w:tc>
        <w:tc>
          <w:tcPr>
            <w:tcW w:w="1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120" w:type="dxa"/>
            <w:vAlign w:val="bottom"/>
          </w:tcPr>
          <w:p>
            <w:pPr>
              <w:ind w:left="20"/>
              <w:spacing w:after="0" w:line="166" w:lineRule="exact"/>
              <w:rPr>
                <w:sz w:val="20"/>
                <w:szCs w:val="20"/>
                <w:color w:val="auto"/>
              </w:rPr>
            </w:pPr>
            <w:r>
              <w:rPr>
                <w:rFonts w:ascii="Arial" w:cs="Arial" w:eastAsia="Arial" w:hAnsi="Arial"/>
                <w:sz w:val="16"/>
                <w:szCs w:val="16"/>
                <w:color w:val="auto"/>
                <w:w w:val="95"/>
              </w:rPr>
              <w:t>Weighted-average shares used in computing net income per</w:t>
            </w:r>
          </w:p>
        </w:tc>
        <w:tc>
          <w:tcPr>
            <w:tcW w:w="16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w w:val="96"/>
              </w:rPr>
              <w:t>185,860,412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w w:val="96"/>
              </w:rPr>
              <w:t>112,267,257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58,583,874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w w:val="96"/>
              </w:rPr>
              <w:t>195,714,140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ind w:left="62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w w:val="96"/>
              </w:rPr>
              <w:t>116,005,681</w:t>
            </w:r>
          </w:p>
        </w:tc>
        <w:tc>
          <w:tcPr>
            <w:tcW w:w="0" w:type="dxa"/>
            <w:vAlign w:val="bottom"/>
          </w:tcPr>
          <w:p>
            <w:pPr>
              <w:spacing w:after="0"/>
              <w:rPr>
                <w:sz w:val="1"/>
                <w:szCs w:val="1"/>
                <w:color w:val="auto"/>
              </w:rPr>
            </w:pPr>
          </w:p>
        </w:tc>
      </w:tr>
      <w:tr>
        <w:trPr>
          <w:trHeight w:val="209"/>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 attributable to common stockholders, diluted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1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7"/>
              </w:rPr>
              <w:t>Net income per share attributable to common stockholders,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16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w w:val="97"/>
              </w:rPr>
              <w:t>Net income per share attributable to common stockholders,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4120" w:type="dxa"/>
            <w:vAlign w:val="bottom"/>
            <w:vMerge w:val="continue"/>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ind w:right="1"/>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9"/>
                <w:szCs w:val="9"/>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9"/>
                <w:szCs w:val="9"/>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tcPr>
          <w:p>
            <w:pPr>
              <w:ind w:left="62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185"/>
        </w:trPr>
        <w:tc>
          <w:tcPr>
            <w:tcW w:w="4120" w:type="dxa"/>
            <w:vAlign w:val="bottom"/>
          </w:tcPr>
          <w:p>
            <w:pPr>
              <w:ind w:left="20"/>
              <w:spacing w:after="0"/>
              <w:rPr>
                <w:sz w:val="20"/>
                <w:szCs w:val="20"/>
                <w:color w:val="auto"/>
              </w:rPr>
            </w:pPr>
            <w:r>
              <w:rPr>
                <w:rFonts w:ascii="Arial" w:cs="Arial" w:eastAsia="Arial" w:hAnsi="Arial"/>
                <w:sz w:val="16"/>
                <w:szCs w:val="16"/>
                <w:color w:val="auto"/>
              </w:rPr>
              <w:t>diluted</w:t>
            </w:r>
          </w:p>
        </w:tc>
        <w:tc>
          <w:tcPr>
            <w:tcW w:w="1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486"/>
        <w:spacing w:after="0" w:line="269" w:lineRule="auto"/>
        <w:rPr>
          <w:sz w:val="20"/>
          <w:szCs w:val="20"/>
          <w:color w:val="auto"/>
        </w:rPr>
      </w:pPr>
      <w:r>
        <w:rPr>
          <w:rFonts w:ascii="Arial" w:cs="Arial" w:eastAsia="Arial" w:hAnsi="Arial"/>
          <w:sz w:val="18"/>
          <w:szCs w:val="18"/>
          <w:color w:val="auto"/>
        </w:rPr>
        <w:t>The potential shares of common stock that were excluded from the computation of diluted net income per share attributable to common stockholders for the periods presented because including them would have been anti-dilutive are as follows:</w:t>
      </w: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Year Ended January 31,</w:t>
            </w: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7"/>
        </w:trPr>
        <w:tc>
          <w:tcPr>
            <w:tcW w:w="4080" w:type="dxa"/>
            <w:vAlign w:val="bottom"/>
          </w:tcPr>
          <w:p>
            <w:pPr>
              <w:spacing w:after="0"/>
              <w:rPr>
                <w:sz w:val="16"/>
                <w:szCs w:val="16"/>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2019</w:t>
            </w:r>
          </w:p>
        </w:tc>
        <w:tc>
          <w:tcPr>
            <w:tcW w:w="920" w:type="dxa"/>
            <w:vAlign w:val="bottom"/>
            <w:tcBorders>
              <w:bottom w:val="single" w:sz="8" w:color="auto"/>
            </w:tcBorders>
          </w:tcPr>
          <w:p>
            <w:pPr>
              <w:spacing w:after="0"/>
              <w:rPr>
                <w:sz w:val="16"/>
                <w:szCs w:val="16"/>
                <w:color w:val="auto"/>
              </w:rPr>
            </w:pPr>
          </w:p>
        </w:tc>
      </w:tr>
      <w:tr>
        <w:trPr>
          <w:trHeight w:val="183"/>
        </w:trPr>
        <w:tc>
          <w:tcPr>
            <w:tcW w:w="40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Class A</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Class B</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Class A</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Class B</w:t>
            </w:r>
          </w:p>
        </w:tc>
        <w:tc>
          <w:tcPr>
            <w:tcW w:w="1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Class A</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Class B</w:t>
            </w:r>
          </w:p>
        </w:tc>
      </w:tr>
      <w:tr>
        <w:trPr>
          <w:trHeight w:val="211"/>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20" w:type="dxa"/>
            <w:vAlign w:val="bottom"/>
            <w:gridSpan w:val="3"/>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3,541,878</w:t>
            </w: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Unvested RSUs</w:t>
            </w:r>
          </w:p>
        </w:tc>
        <w:tc>
          <w:tcPr>
            <w:tcW w:w="1080" w:type="dxa"/>
            <w:vAlign w:val="bottom"/>
          </w:tcPr>
          <w:p>
            <w:pPr>
              <w:jc w:val="right"/>
              <w:spacing w:after="0"/>
              <w:rPr>
                <w:sz w:val="20"/>
                <w:szCs w:val="20"/>
                <w:color w:val="auto"/>
              </w:rPr>
            </w:pPr>
            <w:r>
              <w:rPr>
                <w:rFonts w:ascii="Arial" w:cs="Arial" w:eastAsia="Arial" w:hAnsi="Arial"/>
                <w:sz w:val="16"/>
                <w:szCs w:val="16"/>
                <w:color w:val="auto"/>
              </w:rPr>
              <w:t>98,941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606,971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20" w:type="dxa"/>
            <w:vAlign w:val="bottom"/>
            <w:gridSpan w:val="3"/>
          </w:tcPr>
          <w:p>
            <w:pPr>
              <w:ind w:left="8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rights committed under the ESPP</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1,180,664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80" w:type="dxa"/>
            <w:vAlign w:val="bottom"/>
          </w:tcPr>
          <w:p>
            <w:pPr>
              <w:ind w:left="220"/>
              <w:spacing w:after="0"/>
              <w:rPr>
                <w:sz w:val="20"/>
                <w:szCs w:val="20"/>
                <w:color w:val="auto"/>
              </w:rPr>
            </w:pPr>
            <w:r>
              <w:rPr>
                <w:rFonts w:ascii="Arial" w:cs="Arial" w:eastAsia="Arial" w:hAnsi="Arial"/>
                <w:sz w:val="16"/>
                <w:szCs w:val="16"/>
                <w:color w:val="auto"/>
              </w:rPr>
              <w:t>Total</w:t>
            </w:r>
          </w:p>
        </w:tc>
        <w:tc>
          <w:tcPr>
            <w:tcW w:w="1080" w:type="dxa"/>
            <w:vAlign w:val="bottom"/>
          </w:tcPr>
          <w:p>
            <w:pPr>
              <w:jc w:val="right"/>
              <w:spacing w:after="0"/>
              <w:rPr>
                <w:sz w:val="20"/>
                <w:szCs w:val="20"/>
                <w:color w:val="auto"/>
              </w:rPr>
            </w:pPr>
            <w:r>
              <w:rPr>
                <w:rFonts w:ascii="Arial" w:cs="Arial" w:eastAsia="Arial" w:hAnsi="Arial"/>
                <w:sz w:val="16"/>
                <w:szCs w:val="16"/>
                <w:color w:val="auto"/>
              </w:rPr>
              <w:t>165,336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1,929,417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1420" w:type="dxa"/>
            <w:vAlign w:val="bottom"/>
            <w:gridSpan w:val="3"/>
          </w:tcPr>
          <w:p>
            <w:pPr>
              <w:ind w:left="8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3,541,878</w:t>
            </w:r>
          </w:p>
        </w:tc>
      </w:tr>
      <w:tr>
        <w:trPr>
          <w:trHeight w:val="20"/>
        </w:trPr>
        <w:tc>
          <w:tcPr>
            <w:tcW w:w="40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table above does not include 405,156 and 500,000 shares of issued Class A common stock held by us as of January 31, 2021 and 2020, respectively, that are reserved for the sole purpose of being transferred to nonprofit organizations.</w:t>
      </w:r>
    </w:p>
    <w:p>
      <w:pPr>
        <w:spacing w:after="0" w:line="6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October 2018, we entered into a strategic partnership with Dropbox, Inc. (“Dropbox”), a global collaboration platform company, which involves the development of technology enabling integrated workflows for users between our platform and the Dropbox platform, as well as a strategic partnership with Atlassian, Inc. (“Atlassian”), a collaboration software company, which involves the development of technology enabling integrated workflows for users between our platform and Atlassian’s Jira Ops and Jira Service Desk products. As of January 31, 2019, we had issued unsecured three-year convertible promissory notes in the principal amounts of $5.0 million and $10.0 million to Dropbox and Atlassian, respectively, which accrued simple interest at 2.75% and 5.0% per annum, respectively. The convertible promissory notes are contingently convertible (convertible upon completion of an IPO or a qualified financing event), and the conditions for the convertible feature were not satisfied as of January 31, 2019. For fiscal year ended January 31, 2019, we have excluded these potential dilutive shares from the calculation of diluted net income per share attributable to common stockholders.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Selected Quarterly Financial Data (Unaudited)</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Selected summarized quarterly financial information for the fiscal years 2021 and 2020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1"/>
                <w:szCs w:val="11"/>
                <w:color w:val="auto"/>
              </w:rPr>
            </w:pPr>
          </w:p>
        </w:tc>
        <w:tc>
          <w:tcPr>
            <w:tcW w:w="9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0"/>
              </w:rPr>
              <w:t>July 31, 2020</w:t>
            </w:r>
          </w:p>
        </w:tc>
        <w:tc>
          <w:tcPr>
            <w:tcW w:w="80" w:type="dxa"/>
            <w:vAlign w:val="bottom"/>
            <w:vMerge w:val="restart"/>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30, 2020</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1"/>
                <w:szCs w:val="11"/>
                <w:color w:val="auto"/>
              </w:rPr>
            </w:pPr>
          </w:p>
        </w:tc>
        <w:tc>
          <w:tcPr>
            <w:tcW w:w="9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0"/>
              </w:rPr>
              <w:t>July 31, 2019</w:t>
            </w:r>
          </w:p>
        </w:tc>
        <w:tc>
          <w:tcPr>
            <w:tcW w:w="80" w:type="dxa"/>
            <w:vAlign w:val="bottom"/>
            <w:vMerge w:val="restart"/>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30, 2019</w:t>
            </w:r>
          </w:p>
        </w:tc>
        <w:tc>
          <w:tcPr>
            <w:tcW w:w="0" w:type="dxa"/>
            <w:vAlign w:val="bottom"/>
          </w:tcPr>
          <w:p>
            <w:pPr>
              <w:spacing w:after="0"/>
              <w:rPr>
                <w:sz w:val="1"/>
                <w:szCs w:val="1"/>
                <w:color w:val="auto"/>
              </w:rPr>
            </w:pPr>
          </w:p>
        </w:tc>
      </w:tr>
      <w:tr>
        <w:trPr>
          <w:trHeight w:val="188"/>
        </w:trPr>
        <w:tc>
          <w:tcPr>
            <w:tcW w:w="2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882,485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777,196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663,520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121,988</w:t>
            </w:r>
          </w:p>
        </w:tc>
        <w:tc>
          <w:tcPr>
            <w:tcW w:w="0" w:type="dxa"/>
            <w:vAlign w:val="bottom"/>
          </w:tcPr>
          <w:p>
            <w:pPr>
              <w:spacing w:after="0"/>
              <w:rPr>
                <w:sz w:val="1"/>
                <w:szCs w:val="1"/>
                <w:color w:val="auto"/>
              </w:rPr>
            </w:pPr>
          </w:p>
        </w:tc>
      </w:tr>
      <w:tr>
        <w:trPr>
          <w:trHeight w:val="213"/>
        </w:trPr>
        <w:tc>
          <w:tcPr>
            <w:tcW w:w="26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615,201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518,469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471,249</w:t>
            </w:r>
          </w:p>
        </w:tc>
        <w:tc>
          <w:tcPr>
            <w:tcW w:w="8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224,460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155,704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135,748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117,926</w:t>
            </w:r>
          </w:p>
        </w:tc>
        <w:tc>
          <w:tcPr>
            <w:tcW w:w="8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97,884</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192,242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188,104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166"/>
        </w:trPr>
        <w:tc>
          <w:tcPr>
            <w:tcW w:w="2680" w:type="dxa"/>
            <w:vAlign w:val="bottom"/>
          </w:tcPr>
          <w:p>
            <w:pPr>
              <w:ind w:left="20"/>
              <w:spacing w:after="0" w:line="166" w:lineRule="exact"/>
              <w:rPr>
                <w:sz w:val="20"/>
                <w:szCs w:val="20"/>
                <w:color w:val="auto"/>
              </w:rPr>
            </w:pPr>
            <w:r>
              <w:rPr>
                <w:rFonts w:ascii="Arial" w:cs="Arial" w:eastAsia="Arial" w:hAnsi="Arial"/>
                <w:sz w:val="16"/>
                <w:szCs w:val="16"/>
                <w:color w:val="auto"/>
              </w:rPr>
              <w:t>Net income attributable to common</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260,393</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198,440</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185,742</w:t>
            </w:r>
          </w:p>
        </w:tc>
        <w:tc>
          <w:tcPr>
            <w:tcW w:w="80" w:type="dxa"/>
            <w:vAlign w:val="bottom"/>
          </w:tcPr>
          <w:p>
            <w:pPr>
              <w:spacing w:after="0"/>
              <w:rPr>
                <w:sz w:val="14"/>
                <w:szCs w:val="14"/>
                <w:color w:val="auto"/>
              </w:rPr>
            </w:pPr>
          </w:p>
        </w:tc>
        <w:tc>
          <w:tcPr>
            <w:tcW w:w="240" w:type="dxa"/>
            <w:vAlign w:val="bottom"/>
            <w:vMerge w:val="restart"/>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27,036</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15,313</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2,207</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5,521</w:t>
            </w:r>
          </w:p>
        </w:tc>
        <w:tc>
          <w:tcPr>
            <w:tcW w:w="80" w:type="dxa"/>
            <w:vAlign w:val="bottom"/>
          </w:tcPr>
          <w:p>
            <w:pPr>
              <w:spacing w:after="0"/>
              <w:rPr>
                <w:sz w:val="14"/>
                <w:szCs w:val="14"/>
                <w:color w:val="auto"/>
              </w:rPr>
            </w:pPr>
          </w:p>
        </w:tc>
        <w:tc>
          <w:tcPr>
            <w:tcW w:w="260" w:type="dxa"/>
            <w:vAlign w:val="bottom"/>
            <w:vMerge w:val="restart"/>
          </w:tcPr>
          <w:p>
            <w:pPr>
              <w:jc w:val="right"/>
              <w:ind w:right="80"/>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9"/>
        </w:trPr>
        <w:tc>
          <w:tcPr>
            <w:tcW w:w="2680" w:type="dxa"/>
            <w:vAlign w:val="bottom"/>
          </w:tcPr>
          <w:p>
            <w:pPr>
              <w:ind w:left="20"/>
              <w:spacing w:after="0"/>
              <w:rPr>
                <w:sz w:val="20"/>
                <w:szCs w:val="20"/>
                <w:color w:val="auto"/>
              </w:rPr>
            </w:pPr>
            <w:r>
              <w:rPr>
                <w:rFonts w:ascii="Arial" w:cs="Arial" w:eastAsia="Arial" w:hAnsi="Arial"/>
                <w:sz w:val="16"/>
                <w:szCs w:val="16"/>
                <w:color w:val="auto"/>
              </w:rPr>
              <w:t>stockholders</w:t>
            </w:r>
          </w:p>
        </w:tc>
        <w:tc>
          <w:tcPr>
            <w:tcW w:w="1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income per share attributable to</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stockholders: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80" w:type="dxa"/>
            <w:vAlign w:val="bottom"/>
          </w:tcPr>
          <w:p>
            <w:pPr>
              <w:ind w:left="240"/>
              <w:spacing w:after="0"/>
              <w:rPr>
                <w:sz w:val="20"/>
                <w:szCs w:val="20"/>
                <w:color w:val="auto"/>
              </w:rPr>
            </w:pPr>
            <w:r>
              <w:rPr>
                <w:rFonts w:ascii="Arial" w:cs="Arial" w:eastAsia="Arial" w:hAnsi="Arial"/>
                <w:sz w:val="16"/>
                <w:szCs w:val="16"/>
                <w:color w:val="auto"/>
              </w:rPr>
              <w:t>Basic</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0.91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0.70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0.66</w:t>
            </w:r>
          </w:p>
        </w:tc>
        <w:tc>
          <w:tcPr>
            <w:tcW w:w="8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0.10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0.02</w:t>
            </w:r>
          </w:p>
        </w:tc>
        <w:tc>
          <w:tcPr>
            <w:tcW w:w="80" w:type="dxa"/>
            <w:vAlign w:val="bottom"/>
          </w:tcPr>
          <w:p>
            <w:pPr>
              <w:spacing w:after="0"/>
              <w:rPr>
                <w:sz w:val="18"/>
                <w:szCs w:val="18"/>
                <w:color w:val="auto"/>
              </w:rPr>
            </w:pPr>
          </w:p>
        </w:tc>
        <w:tc>
          <w:tcPr>
            <w:tcW w:w="260" w:type="dxa"/>
            <w:vAlign w:val="bottom"/>
          </w:tcPr>
          <w:p>
            <w:pPr>
              <w:jc w:val="right"/>
              <w:ind w:right="8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19"/>
        </w:trPr>
        <w:tc>
          <w:tcPr>
            <w:tcW w:w="26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116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criteria established in Internal Control – Integrated Framework (2013) issued by the Committee of Sponsoring Organizations of the Treadway Commission. Management has concluded that its internal control over financial reporting was effective as of January 31, 2021 to provide reasonable assurance regarding the reliability of financial reporting and the preparation of financial statements in accordance with U.S. GAAP.</w:t>
      </w:r>
    </w:p>
    <w:p>
      <w:pPr>
        <w:spacing w:after="0" w:line="6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January 31, 2021 has been audited by KPMG LLP, an independent registered public accounting firm, as stated in their report, which is included in Item 8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13a-15(d) and 15d-15(d) under the Exchange Act) that occurred during the quarter ended January 31, 2021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Disclosure Controls and Procedures</w:t>
      </w:r>
    </w:p>
    <w:p>
      <w:pPr>
        <w:spacing w:after="0" w:line="12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management, including our principal executive officer and principal financial officer,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maintain a Code of Business Conduct and Ethics that incorporates our code of ethics applicable to all employees, including all directors and executive officers. Our Code of Business Conduct and Ethics is published on our Investor Relations website at investors.zoom.us under “Corporate Governance.” We intend to satisfy the disclosure requirement under Item 5.05 of Form 8-K regarding amendments to, or waiver from, a provision of our Code of Business Conduct and Ethics by posting such information on the website address and location specified above.</w:t>
      </w:r>
    </w:p>
    <w:p>
      <w:pPr>
        <w:spacing w:after="0" w:line="6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remaining information required by this item is incorporated by reference to the definitive Proxy Statement for our 2021 Annual Meeting of Stockholders, which will be filed with the SEC no later than 120 days after January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2021 Annual Meeting of Stockholders, which will be filed with the SEC no later than 120 days after January 31, 2021.</w:t>
      </w:r>
    </w:p>
    <w:p>
      <w:pPr>
        <w:spacing w:after="0" w:line="19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2021 Annual Meeting of Stockholders, which will be filed with the SEC no later than 120 days after January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2021 Annual Meeting of Stockholders, which will be filed with the SEC no later than 120 days after January 31,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2021 Annual Meeting of Stockholders, which will be filed with the SEC no later than 120 days after January 31, 2021.</w:t>
      </w:r>
    </w:p>
    <w:p>
      <w:pPr>
        <w:spacing w:after="0" w:line="19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03" w:lineRule="exact"/>
        <w:rPr>
          <w:sz w:val="20"/>
          <w:szCs w:val="20"/>
          <w:color w:val="auto"/>
        </w:rPr>
      </w:pPr>
    </w:p>
    <w:p>
      <w:pPr>
        <w:ind w:left="740" w:hanging="246"/>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Annual Report on Form 10-K:</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(1) Consolidated Financial Statements: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Schedule II: Valuation and Qualifying Accounts is filed as part of this Annual Report on Form 10-K and should be read in conjunction with the Consolidated Financial Statements and Notes thereto.</w:t>
      </w:r>
    </w:p>
    <w:p>
      <w:pPr>
        <w:spacing w:after="0" w:line="6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herein.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documents listed in the following Exhibit Index of this Annual Report on Form 10-K are incorporated by reference or are filed with this Annual Report on Form 10-K, in each case as indicated therein (numbered in accordance with Item 601 of Regulation S-K).</w:t>
      </w:r>
    </w:p>
    <w:p>
      <w:pPr>
        <w:spacing w:after="0" w:line="5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Exhibits</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Incorporated by Reference</w:t>
            </w:r>
          </w:p>
        </w:tc>
        <w:tc>
          <w:tcPr>
            <w:tcW w:w="1700" w:type="dxa"/>
            <w:vAlign w:val="bottom"/>
            <w:tcBorders>
              <w:bottom w:val="single" w:sz="8" w:color="auto"/>
            </w:tcBorders>
          </w:tcPr>
          <w:p>
            <w:pPr>
              <w:spacing w:after="0"/>
              <w:rPr>
                <w:sz w:val="16"/>
                <w:szCs w:val="16"/>
                <w:color w:val="auto"/>
              </w:rPr>
            </w:pPr>
          </w:p>
        </w:tc>
      </w:tr>
      <w:tr>
        <w:trPr>
          <w:trHeight w:val="197"/>
        </w:trPr>
        <w:tc>
          <w:tcPr>
            <w:tcW w:w="11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gridSpan w:val="33"/>
          </w:tcPr>
          <w:p>
            <w:pPr>
              <w:ind w:left="180"/>
              <w:spacing w:after="0"/>
              <w:rPr>
                <w:sz w:val="20"/>
                <w:szCs w:val="20"/>
                <w:color w:val="auto"/>
              </w:rPr>
            </w:pPr>
            <w:r>
              <w:rPr>
                <w:rFonts w:ascii="Arial" w:cs="Arial" w:eastAsia="Arial" w:hAnsi="Arial"/>
                <w:sz w:val="14"/>
                <w:szCs w:val="14"/>
                <w:b w:val="1"/>
                <w:bCs w:val="1"/>
                <w:color w:val="auto"/>
              </w:rPr>
              <w:t>Exhibit Description</w:t>
            </w:r>
          </w:p>
        </w:tc>
        <w:tc>
          <w:tcPr>
            <w:tcW w:w="1200" w:type="dxa"/>
            <w:vAlign w:val="bottom"/>
          </w:tcPr>
          <w:p>
            <w:pPr>
              <w:ind w:left="540"/>
              <w:spacing w:after="0"/>
              <w:rPr>
                <w:sz w:val="20"/>
                <w:szCs w:val="20"/>
                <w:color w:val="auto"/>
              </w:rPr>
            </w:pPr>
            <w:r>
              <w:rPr>
                <w:rFonts w:ascii="Arial" w:cs="Arial" w:eastAsia="Arial" w:hAnsi="Arial"/>
                <w:sz w:val="14"/>
                <w:szCs w:val="14"/>
                <w:b w:val="1"/>
                <w:bCs w:val="1"/>
                <w:color w:val="auto"/>
              </w:rPr>
              <w:t>Form</w:t>
            </w:r>
          </w:p>
        </w:tc>
        <w:tc>
          <w:tcPr>
            <w:tcW w:w="1560" w:type="dxa"/>
            <w:vAlign w:val="bottom"/>
          </w:tcPr>
          <w:p>
            <w:pPr>
              <w:ind w:left="800"/>
              <w:spacing w:after="0"/>
              <w:rPr>
                <w:sz w:val="20"/>
                <w:szCs w:val="20"/>
                <w:color w:val="auto"/>
              </w:rPr>
            </w:pPr>
            <w:r>
              <w:rPr>
                <w:rFonts w:ascii="Arial" w:cs="Arial" w:eastAsia="Arial" w:hAnsi="Arial"/>
                <w:sz w:val="14"/>
                <w:szCs w:val="14"/>
                <w:b w:val="1"/>
                <w:bCs w:val="1"/>
                <w:color w:val="auto"/>
              </w:rPr>
              <w:t>File No.</w:t>
            </w:r>
          </w:p>
        </w:tc>
        <w:tc>
          <w:tcPr>
            <w:tcW w:w="1500" w:type="dxa"/>
            <w:vAlign w:val="bottom"/>
          </w:tcPr>
          <w:p>
            <w:pPr>
              <w:ind w:left="760"/>
              <w:spacing w:after="0"/>
              <w:rPr>
                <w:sz w:val="20"/>
                <w:szCs w:val="20"/>
                <w:color w:val="auto"/>
              </w:rPr>
            </w:pPr>
            <w:r>
              <w:rPr>
                <w:rFonts w:ascii="Arial" w:cs="Arial" w:eastAsia="Arial" w:hAnsi="Arial"/>
                <w:sz w:val="14"/>
                <w:szCs w:val="14"/>
                <w:b w:val="1"/>
                <w:bCs w:val="1"/>
                <w:color w:val="auto"/>
              </w:rPr>
              <w:t>Exhibit</w:t>
            </w:r>
          </w:p>
        </w:tc>
        <w:tc>
          <w:tcPr>
            <w:tcW w:w="1700" w:type="dxa"/>
            <w:vAlign w:val="bottom"/>
          </w:tcPr>
          <w:p>
            <w:pPr>
              <w:ind w:left="640"/>
              <w:spacing w:after="0"/>
              <w:rPr>
                <w:sz w:val="20"/>
                <w:szCs w:val="20"/>
                <w:color w:val="auto"/>
              </w:rPr>
            </w:pPr>
            <w:r>
              <w:rPr>
                <w:rFonts w:ascii="Arial" w:cs="Arial" w:eastAsia="Arial" w:hAnsi="Arial"/>
                <w:sz w:val="14"/>
                <w:szCs w:val="14"/>
                <w:b w:val="1"/>
                <w:bCs w:val="1"/>
                <w:color w:val="auto"/>
              </w:rPr>
              <w:t>Filing Date</w:t>
            </w:r>
          </w:p>
        </w:tc>
      </w:tr>
      <w:tr>
        <w:trPr>
          <w:trHeight w:val="154"/>
        </w:trPr>
        <w:tc>
          <w:tcPr>
            <w:tcW w:w="1160" w:type="dxa"/>
            <w:vAlign w:val="bottom"/>
          </w:tcPr>
          <w:p>
            <w:pPr>
              <w:spacing w:after="0" w:line="154" w:lineRule="exact"/>
              <w:rPr>
                <w:sz w:val="20"/>
                <w:szCs w:val="20"/>
                <w:color w:val="auto"/>
              </w:rPr>
            </w:pPr>
            <w:r>
              <w:rPr>
                <w:rFonts w:ascii="Arial" w:cs="Arial" w:eastAsia="Arial" w:hAnsi="Arial"/>
                <w:sz w:val="14"/>
                <w:szCs w:val="14"/>
                <w:color w:val="auto"/>
              </w:rPr>
              <w:t>3.1</w:t>
            </w:r>
          </w:p>
        </w:tc>
        <w:tc>
          <w:tcPr>
            <w:tcW w:w="4100" w:type="dxa"/>
            <w:vAlign w:val="bottom"/>
            <w:gridSpan w:val="39"/>
          </w:tcPr>
          <w:p>
            <w:pPr>
              <w:spacing w:after="0" w:line="154" w:lineRule="exact"/>
              <w:rPr>
                <w:rFonts w:ascii="Arial" w:cs="Arial" w:eastAsia="Arial" w:hAnsi="Arial"/>
                <w:sz w:val="14"/>
                <w:szCs w:val="14"/>
                <w:color w:val="0000FF"/>
                <w:w w:val="99"/>
              </w:rPr>
            </w:pPr>
            <w:hyperlink r:id="rId124">
              <w:r>
                <w:rPr>
                  <w:rFonts w:ascii="Arial" w:cs="Arial" w:eastAsia="Arial" w:hAnsi="Arial"/>
                  <w:sz w:val="14"/>
                  <w:szCs w:val="14"/>
                  <w:color w:val="0000FF"/>
                  <w:w w:val="99"/>
                </w:rPr>
                <w:t>Amended and Restated Certificate of Incorporation of Zoom Video</w:t>
              </w:r>
            </w:hyperlink>
          </w:p>
        </w:tc>
        <w:tc>
          <w:tcPr>
            <w:tcW w:w="1200" w:type="dxa"/>
            <w:vAlign w:val="bottom"/>
          </w:tcPr>
          <w:p>
            <w:pPr>
              <w:ind w:left="20"/>
              <w:spacing w:after="0" w:line="154" w:lineRule="exact"/>
              <w:rPr>
                <w:sz w:val="20"/>
                <w:szCs w:val="20"/>
                <w:color w:val="auto"/>
              </w:rPr>
            </w:pPr>
            <w:r>
              <w:rPr>
                <w:rFonts w:ascii="Arial" w:cs="Arial" w:eastAsia="Arial" w:hAnsi="Arial"/>
                <w:sz w:val="14"/>
                <w:szCs w:val="14"/>
                <w:color w:val="auto"/>
              </w:rPr>
              <w:t>8-K</w:t>
            </w:r>
          </w:p>
        </w:tc>
        <w:tc>
          <w:tcPr>
            <w:tcW w:w="1560" w:type="dxa"/>
            <w:vAlign w:val="bottom"/>
          </w:tcPr>
          <w:p>
            <w:pPr>
              <w:ind w:left="340"/>
              <w:spacing w:after="0" w:line="154" w:lineRule="exact"/>
              <w:rPr>
                <w:sz w:val="20"/>
                <w:szCs w:val="20"/>
                <w:color w:val="auto"/>
              </w:rPr>
            </w:pPr>
            <w:r>
              <w:rPr>
                <w:rFonts w:ascii="Arial" w:cs="Arial" w:eastAsia="Arial" w:hAnsi="Arial"/>
                <w:sz w:val="14"/>
                <w:szCs w:val="14"/>
                <w:color w:val="auto"/>
              </w:rPr>
              <w:t>001-38865</w:t>
            </w:r>
          </w:p>
        </w:tc>
        <w:tc>
          <w:tcPr>
            <w:tcW w:w="1500" w:type="dxa"/>
            <w:vAlign w:val="bottom"/>
          </w:tcPr>
          <w:p>
            <w:pPr>
              <w:ind w:left="300"/>
              <w:spacing w:after="0" w:line="154" w:lineRule="exact"/>
              <w:rPr>
                <w:sz w:val="20"/>
                <w:szCs w:val="20"/>
                <w:color w:val="auto"/>
              </w:rPr>
            </w:pPr>
            <w:r>
              <w:rPr>
                <w:rFonts w:ascii="Arial" w:cs="Arial" w:eastAsia="Arial" w:hAnsi="Arial"/>
                <w:sz w:val="14"/>
                <w:szCs w:val="14"/>
                <w:color w:val="auto"/>
              </w:rPr>
              <w:t>3.1</w:t>
            </w:r>
          </w:p>
        </w:tc>
        <w:tc>
          <w:tcPr>
            <w:tcW w:w="1700" w:type="dxa"/>
            <w:vAlign w:val="bottom"/>
          </w:tcPr>
          <w:p>
            <w:pPr>
              <w:ind w:left="280"/>
              <w:spacing w:after="0" w:line="154" w:lineRule="exact"/>
              <w:rPr>
                <w:sz w:val="20"/>
                <w:szCs w:val="20"/>
                <w:color w:val="auto"/>
              </w:rPr>
            </w:pPr>
            <w:r>
              <w:rPr>
                <w:rFonts w:ascii="Arial" w:cs="Arial" w:eastAsia="Arial" w:hAnsi="Arial"/>
                <w:sz w:val="14"/>
                <w:szCs w:val="14"/>
                <w:color w:val="auto"/>
              </w:rPr>
              <w:t>April 23, 2019</w:t>
            </w:r>
          </w:p>
        </w:tc>
      </w:tr>
      <w:tr>
        <w:trPr>
          <w:trHeight w:val="115"/>
        </w:trPr>
        <w:tc>
          <w:tcPr>
            <w:tcW w:w="1160" w:type="dxa"/>
            <w:vAlign w:val="bottom"/>
          </w:tcPr>
          <w:p>
            <w:pPr>
              <w:spacing w:after="0"/>
              <w:rPr>
                <w:sz w:val="10"/>
                <w:szCs w:val="10"/>
                <w:color w:val="auto"/>
              </w:rPr>
            </w:pPr>
          </w:p>
        </w:tc>
        <w:tc>
          <w:tcPr>
            <w:tcW w:w="3860" w:type="dxa"/>
            <w:vAlign w:val="bottom"/>
            <w:tcBorders>
              <w:top w:val="single" w:sz="8" w:color="0000FF"/>
            </w:tcBorders>
            <w:gridSpan w:val="30"/>
          </w:tcPr>
          <w:p>
            <w:pPr>
              <w:spacing w:after="0" w:line="115" w:lineRule="exact"/>
              <w:rPr>
                <w:rFonts w:ascii="Arial" w:cs="Arial" w:eastAsia="Arial" w:hAnsi="Arial"/>
                <w:sz w:val="13"/>
                <w:szCs w:val="13"/>
                <w:color w:val="0000FF"/>
              </w:rPr>
            </w:pPr>
            <w:hyperlink r:id="rId124">
              <w:r>
                <w:rPr>
                  <w:rFonts w:ascii="Arial" w:cs="Arial" w:eastAsia="Arial" w:hAnsi="Arial"/>
                  <w:sz w:val="13"/>
                  <w:szCs w:val="13"/>
                  <w:color w:val="0000FF"/>
                </w:rPr>
                <w:t>Communications,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3.2</w:t>
            </w:r>
          </w:p>
        </w:tc>
        <w:tc>
          <w:tcPr>
            <w:tcW w:w="4100" w:type="dxa"/>
            <w:vAlign w:val="bottom"/>
            <w:gridSpan w:val="39"/>
          </w:tcPr>
          <w:p>
            <w:pPr>
              <w:spacing w:after="0"/>
              <w:rPr>
                <w:rFonts w:ascii="Arial" w:cs="Arial" w:eastAsia="Arial" w:hAnsi="Arial"/>
                <w:sz w:val="14"/>
                <w:szCs w:val="14"/>
                <w:color w:val="auto"/>
              </w:rPr>
            </w:pPr>
            <w:hyperlink r:id="rId125">
              <w:r>
                <w:rPr>
                  <w:rFonts w:ascii="Arial" w:cs="Arial" w:eastAsia="Arial" w:hAnsi="Arial"/>
                  <w:sz w:val="14"/>
                  <w:szCs w:val="14"/>
                  <w:color w:val="auto"/>
                </w:rPr>
                <w:t>Amended and Restated Bylaws of Zoom Video Communications,</w:t>
              </w:r>
            </w:hyperlink>
          </w:p>
        </w:tc>
        <w:tc>
          <w:tcPr>
            <w:tcW w:w="1200" w:type="dxa"/>
            <w:vAlign w:val="bottom"/>
          </w:tcPr>
          <w:p>
            <w:pPr>
              <w:ind w:left="20"/>
              <w:spacing w:after="0"/>
              <w:rPr>
                <w:sz w:val="20"/>
                <w:szCs w:val="20"/>
                <w:color w:val="auto"/>
              </w:rPr>
            </w:pPr>
            <w:r>
              <w:rPr>
                <w:rFonts w:ascii="Arial" w:cs="Arial" w:eastAsia="Arial" w:hAnsi="Arial"/>
                <w:sz w:val="14"/>
                <w:szCs w:val="14"/>
                <w:color w:val="auto"/>
              </w:rPr>
              <w:t>S-1/A</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1500" w:type="dxa"/>
            <w:vAlign w:val="bottom"/>
          </w:tcPr>
          <w:p>
            <w:pPr>
              <w:ind w:left="300"/>
              <w:spacing w:after="0"/>
              <w:rPr>
                <w:sz w:val="20"/>
                <w:szCs w:val="20"/>
                <w:color w:val="auto"/>
              </w:rPr>
            </w:pPr>
            <w:r>
              <w:rPr>
                <w:rFonts w:ascii="Arial" w:cs="Arial" w:eastAsia="Arial" w:hAnsi="Arial"/>
                <w:sz w:val="14"/>
                <w:szCs w:val="14"/>
                <w:color w:val="auto"/>
              </w:rPr>
              <w:t>3.4</w:t>
            </w:r>
          </w:p>
        </w:tc>
        <w:tc>
          <w:tcPr>
            <w:tcW w:w="1700" w:type="dxa"/>
            <w:vAlign w:val="bottom"/>
          </w:tcPr>
          <w:p>
            <w:pPr>
              <w:ind w:left="280"/>
              <w:spacing w:after="0"/>
              <w:rPr>
                <w:sz w:val="20"/>
                <w:szCs w:val="20"/>
                <w:color w:val="auto"/>
              </w:rPr>
            </w:pPr>
            <w:r>
              <w:rPr>
                <w:rFonts w:ascii="Arial" w:cs="Arial" w:eastAsia="Arial" w:hAnsi="Arial"/>
                <w:sz w:val="14"/>
                <w:szCs w:val="14"/>
                <w:color w:val="auto"/>
              </w:rPr>
              <w:t>April 8, 2019</w:t>
            </w:r>
          </w:p>
        </w:tc>
      </w:tr>
      <w:tr>
        <w:trPr>
          <w:trHeight w:val="115"/>
        </w:trPr>
        <w:tc>
          <w:tcPr>
            <w:tcW w:w="1160" w:type="dxa"/>
            <w:vAlign w:val="bottom"/>
          </w:tcPr>
          <w:p>
            <w:pPr>
              <w:spacing w:after="0"/>
              <w:rPr>
                <w:sz w:val="10"/>
                <w:szCs w:val="10"/>
                <w:color w:val="auto"/>
              </w:rPr>
            </w:pPr>
          </w:p>
        </w:tc>
        <w:tc>
          <w:tcPr>
            <w:tcW w:w="220" w:type="dxa"/>
            <w:vAlign w:val="bottom"/>
            <w:tcBorders>
              <w:top w:val="single" w:sz="8" w:color="auto"/>
              <w:bottom w:val="single" w:sz="8" w:color="auto"/>
            </w:tcBorders>
          </w:tcPr>
          <w:p>
            <w:pPr>
              <w:spacing w:after="0" w:line="115" w:lineRule="exact"/>
              <w:rPr>
                <w:rFonts w:ascii="Arial" w:cs="Arial" w:eastAsia="Arial" w:hAnsi="Arial"/>
                <w:sz w:val="13"/>
                <w:szCs w:val="13"/>
                <w:color w:val="auto"/>
                <w:w w:val="95"/>
              </w:rPr>
            </w:pPr>
            <w:hyperlink r:id="rId125">
              <w:r>
                <w:rPr>
                  <w:rFonts w:ascii="Arial" w:cs="Arial" w:eastAsia="Arial" w:hAnsi="Arial"/>
                  <w:sz w:val="13"/>
                  <w:szCs w:val="13"/>
                  <w:color w:val="auto"/>
                  <w:w w:val="95"/>
                </w:rPr>
                <w:t>Inc.</w:t>
              </w:r>
            </w:hyperlink>
          </w:p>
        </w:tc>
        <w:tc>
          <w:tcPr>
            <w:tcW w:w="3540" w:type="dxa"/>
            <w:vAlign w:val="bottom"/>
            <w:tcBorders>
              <w:top w:val="single" w:sz="8" w:color="auto"/>
            </w:tcBorders>
            <w:gridSpan w:val="26"/>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97"/>
        </w:trPr>
        <w:tc>
          <w:tcPr>
            <w:tcW w:w="1160" w:type="dxa"/>
            <w:vAlign w:val="bottom"/>
          </w:tcPr>
          <w:p>
            <w:pPr>
              <w:spacing w:after="0"/>
              <w:rPr>
                <w:sz w:val="20"/>
                <w:szCs w:val="20"/>
                <w:color w:val="auto"/>
              </w:rPr>
            </w:pPr>
            <w:r>
              <w:rPr>
                <w:rFonts w:ascii="Arial" w:cs="Arial" w:eastAsia="Arial" w:hAnsi="Arial"/>
                <w:sz w:val="14"/>
                <w:szCs w:val="14"/>
                <w:color w:val="auto"/>
              </w:rPr>
              <w:t>4.1</w:t>
            </w:r>
          </w:p>
        </w:tc>
        <w:tc>
          <w:tcPr>
            <w:tcW w:w="4100" w:type="dxa"/>
            <w:vAlign w:val="bottom"/>
            <w:gridSpan w:val="39"/>
          </w:tcPr>
          <w:p>
            <w:pPr>
              <w:spacing w:after="0"/>
              <w:rPr>
                <w:rFonts w:ascii="Arial" w:cs="Arial" w:eastAsia="Arial" w:hAnsi="Arial"/>
                <w:sz w:val="14"/>
                <w:szCs w:val="14"/>
                <w:u w:val="single" w:color="auto"/>
                <w:color w:val="auto"/>
              </w:rPr>
            </w:pPr>
            <w:hyperlink r:id="rId126">
              <w:r>
                <w:rPr>
                  <w:rFonts w:ascii="Arial" w:cs="Arial" w:eastAsia="Arial" w:hAnsi="Arial"/>
                  <w:sz w:val="14"/>
                  <w:szCs w:val="14"/>
                  <w:u w:val="single" w:color="auto"/>
                  <w:color w:val="auto"/>
                </w:rPr>
                <w:t>Form of Class A Common Stock Certificate</w:t>
              </w:r>
            </w:hyperlink>
          </w:p>
        </w:tc>
        <w:tc>
          <w:tcPr>
            <w:tcW w:w="1200" w:type="dxa"/>
            <w:vAlign w:val="bottom"/>
          </w:tcPr>
          <w:p>
            <w:pPr>
              <w:ind w:left="20"/>
              <w:spacing w:after="0"/>
              <w:rPr>
                <w:sz w:val="20"/>
                <w:szCs w:val="20"/>
                <w:color w:val="auto"/>
              </w:rPr>
            </w:pPr>
            <w:r>
              <w:rPr>
                <w:rFonts w:ascii="Arial" w:cs="Arial" w:eastAsia="Arial" w:hAnsi="Arial"/>
                <w:sz w:val="14"/>
                <w:szCs w:val="14"/>
                <w:color w:val="auto"/>
              </w:rPr>
              <w:t>S-1/A</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1500" w:type="dxa"/>
            <w:vAlign w:val="bottom"/>
          </w:tcPr>
          <w:p>
            <w:pPr>
              <w:ind w:left="300"/>
              <w:spacing w:after="0"/>
              <w:rPr>
                <w:sz w:val="20"/>
                <w:szCs w:val="20"/>
                <w:color w:val="auto"/>
              </w:rPr>
            </w:pPr>
            <w:r>
              <w:rPr>
                <w:rFonts w:ascii="Arial" w:cs="Arial" w:eastAsia="Arial" w:hAnsi="Arial"/>
                <w:sz w:val="14"/>
                <w:szCs w:val="14"/>
                <w:color w:val="auto"/>
              </w:rPr>
              <w:t>4.1</w:t>
            </w:r>
          </w:p>
        </w:tc>
        <w:tc>
          <w:tcPr>
            <w:tcW w:w="1700" w:type="dxa"/>
            <w:vAlign w:val="bottom"/>
          </w:tcPr>
          <w:p>
            <w:pPr>
              <w:ind w:left="280"/>
              <w:spacing w:after="0"/>
              <w:rPr>
                <w:sz w:val="20"/>
                <w:szCs w:val="20"/>
                <w:color w:val="auto"/>
              </w:rPr>
            </w:pPr>
            <w:r>
              <w:rPr>
                <w:rFonts w:ascii="Arial" w:cs="Arial" w:eastAsia="Arial" w:hAnsi="Arial"/>
                <w:sz w:val="14"/>
                <w:szCs w:val="14"/>
                <w:color w:val="auto"/>
              </w:rPr>
              <w:t>April 8, 2019</w:t>
            </w:r>
          </w:p>
        </w:tc>
      </w:tr>
      <w:tr>
        <w:trPr>
          <w:trHeight w:val="160"/>
        </w:trPr>
        <w:tc>
          <w:tcPr>
            <w:tcW w:w="1160" w:type="dxa"/>
            <w:vAlign w:val="bottom"/>
          </w:tcPr>
          <w:p>
            <w:pPr>
              <w:spacing w:after="0"/>
              <w:rPr>
                <w:sz w:val="20"/>
                <w:szCs w:val="20"/>
                <w:color w:val="auto"/>
              </w:rPr>
            </w:pPr>
            <w:r>
              <w:rPr>
                <w:rFonts w:ascii="Arial" w:cs="Arial" w:eastAsia="Arial" w:hAnsi="Arial"/>
                <w:sz w:val="14"/>
                <w:szCs w:val="14"/>
                <w:color w:val="auto"/>
              </w:rPr>
              <w:t>4.2#</w:t>
            </w:r>
          </w:p>
        </w:tc>
        <w:tc>
          <w:tcPr>
            <w:tcW w:w="4100" w:type="dxa"/>
            <w:vAlign w:val="bottom"/>
            <w:gridSpan w:val="39"/>
          </w:tcPr>
          <w:p>
            <w:pPr>
              <w:spacing w:after="0"/>
              <w:rPr>
                <w:rFonts w:ascii="Arial" w:cs="Arial" w:eastAsia="Arial" w:hAnsi="Arial"/>
                <w:sz w:val="14"/>
                <w:szCs w:val="14"/>
                <w:color w:val="0000FF"/>
                <w:w w:val="99"/>
              </w:rPr>
            </w:pPr>
            <w:hyperlink r:id="rId127">
              <w:r>
                <w:rPr>
                  <w:rFonts w:ascii="Arial" w:cs="Arial" w:eastAsia="Arial" w:hAnsi="Arial"/>
                  <w:sz w:val="14"/>
                  <w:szCs w:val="14"/>
                  <w:color w:val="0000FF"/>
                  <w:w w:val="99"/>
                </w:rPr>
                <w:t>Third Amended and Restated Investors’ Rights Agreement by and</w:t>
              </w:r>
            </w:hyperlink>
          </w:p>
        </w:tc>
        <w:tc>
          <w:tcPr>
            <w:tcW w:w="1200" w:type="dxa"/>
            <w:vAlign w:val="bottom"/>
          </w:tcPr>
          <w:p>
            <w:pPr>
              <w:ind w:left="20"/>
              <w:spacing w:after="0"/>
              <w:rPr>
                <w:sz w:val="20"/>
                <w:szCs w:val="20"/>
                <w:color w:val="auto"/>
              </w:rPr>
            </w:pPr>
            <w:r>
              <w:rPr>
                <w:rFonts w:ascii="Arial" w:cs="Arial" w:eastAsia="Arial" w:hAnsi="Arial"/>
                <w:sz w:val="14"/>
                <w:szCs w:val="14"/>
                <w:color w:val="auto"/>
              </w:rPr>
              <w:t>S-1</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1500" w:type="dxa"/>
            <w:vAlign w:val="bottom"/>
          </w:tcPr>
          <w:p>
            <w:pPr>
              <w:ind w:left="300"/>
              <w:spacing w:after="0"/>
              <w:rPr>
                <w:sz w:val="20"/>
                <w:szCs w:val="20"/>
                <w:color w:val="auto"/>
              </w:rPr>
            </w:pPr>
            <w:r>
              <w:rPr>
                <w:rFonts w:ascii="Arial" w:cs="Arial" w:eastAsia="Arial" w:hAnsi="Arial"/>
                <w:sz w:val="14"/>
                <w:szCs w:val="14"/>
                <w:color w:val="auto"/>
              </w:rPr>
              <w:t>4.2</w:t>
            </w:r>
          </w:p>
        </w:tc>
        <w:tc>
          <w:tcPr>
            <w:tcW w:w="1700" w:type="dxa"/>
            <w:vAlign w:val="bottom"/>
          </w:tcPr>
          <w:p>
            <w:pPr>
              <w:ind w:left="280"/>
              <w:spacing w:after="0"/>
              <w:rPr>
                <w:sz w:val="20"/>
                <w:szCs w:val="20"/>
                <w:color w:val="auto"/>
              </w:rPr>
            </w:pPr>
            <w:r>
              <w:rPr>
                <w:rFonts w:ascii="Arial" w:cs="Arial" w:eastAsia="Arial" w:hAnsi="Arial"/>
                <w:sz w:val="14"/>
                <w:szCs w:val="14"/>
                <w:color w:val="auto"/>
              </w:rPr>
              <w:t>March 22, 2019</w:t>
            </w:r>
          </w:p>
        </w:tc>
      </w:tr>
      <w:tr>
        <w:trPr>
          <w:trHeight w:val="115"/>
        </w:trPr>
        <w:tc>
          <w:tcPr>
            <w:tcW w:w="1160" w:type="dxa"/>
            <w:vAlign w:val="bottom"/>
          </w:tcPr>
          <w:p>
            <w:pPr>
              <w:spacing w:after="0"/>
              <w:rPr>
                <w:sz w:val="10"/>
                <w:szCs w:val="10"/>
                <w:color w:val="auto"/>
              </w:rPr>
            </w:pPr>
          </w:p>
        </w:tc>
        <w:tc>
          <w:tcPr>
            <w:tcW w:w="3800" w:type="dxa"/>
            <w:vAlign w:val="bottom"/>
            <w:tcBorders>
              <w:top w:val="single" w:sz="8" w:color="0000FF"/>
            </w:tcBorders>
            <w:gridSpan w:val="28"/>
          </w:tcPr>
          <w:p>
            <w:pPr>
              <w:spacing w:after="0" w:line="115" w:lineRule="exact"/>
              <w:rPr>
                <w:rFonts w:ascii="Arial" w:cs="Arial" w:eastAsia="Arial" w:hAnsi="Arial"/>
                <w:sz w:val="13"/>
                <w:szCs w:val="13"/>
                <w:color w:val="0000FF"/>
              </w:rPr>
            </w:pPr>
            <w:hyperlink r:id="rId127">
              <w:r>
                <w:rPr>
                  <w:rFonts w:ascii="Arial" w:cs="Arial" w:eastAsia="Arial" w:hAnsi="Arial"/>
                  <w:sz w:val="13"/>
                  <w:szCs w:val="13"/>
                  <w:color w:val="0000FF"/>
                </w:rPr>
                <w:t>among the Registrant and certain of its stockholders, dated</w:t>
              </w:r>
            </w:hyperlink>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15"/>
        </w:trPr>
        <w:tc>
          <w:tcPr>
            <w:tcW w:w="1160" w:type="dxa"/>
            <w:vAlign w:val="bottom"/>
          </w:tcPr>
          <w:p>
            <w:pPr>
              <w:spacing w:after="0"/>
              <w:rPr>
                <w:sz w:val="10"/>
                <w:szCs w:val="10"/>
                <w:color w:val="auto"/>
              </w:rPr>
            </w:pPr>
          </w:p>
        </w:tc>
        <w:tc>
          <w:tcPr>
            <w:tcW w:w="3360" w:type="dxa"/>
            <w:vAlign w:val="bottom"/>
            <w:tcBorders>
              <w:top w:val="single" w:sz="8" w:color="0000FF"/>
            </w:tcBorders>
            <w:gridSpan w:val="17"/>
          </w:tcPr>
          <w:p>
            <w:pPr>
              <w:spacing w:after="0" w:line="115" w:lineRule="exact"/>
              <w:rPr>
                <w:rFonts w:ascii="Arial" w:cs="Arial" w:eastAsia="Arial" w:hAnsi="Arial"/>
                <w:sz w:val="13"/>
                <w:szCs w:val="13"/>
                <w:color w:val="0000FF"/>
              </w:rPr>
            </w:pPr>
            <w:hyperlink r:id="rId127">
              <w:r>
                <w:rPr>
                  <w:rFonts w:ascii="Arial" w:cs="Arial" w:eastAsia="Arial" w:hAnsi="Arial"/>
                  <w:sz w:val="13"/>
                  <w:szCs w:val="13"/>
                  <w:color w:val="0000FF"/>
                </w:rPr>
                <w:t>December 1, 2016.</w:t>
              </w:r>
            </w:hyperlink>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8"/>
        </w:trPr>
        <w:tc>
          <w:tcPr>
            <w:tcW w:w="1160" w:type="dxa"/>
            <w:vAlign w:val="bottom"/>
          </w:tcPr>
          <w:p>
            <w:pPr>
              <w:spacing w:after="0"/>
              <w:rPr>
                <w:sz w:val="20"/>
                <w:szCs w:val="20"/>
                <w:color w:val="auto"/>
              </w:rPr>
            </w:pPr>
            <w:r>
              <w:rPr>
                <w:rFonts w:ascii="Arial" w:cs="Arial" w:eastAsia="Arial" w:hAnsi="Arial"/>
                <w:sz w:val="14"/>
                <w:szCs w:val="14"/>
                <w:color w:val="auto"/>
              </w:rPr>
              <w:t>4.3</w:t>
            </w:r>
          </w:p>
        </w:tc>
        <w:tc>
          <w:tcPr>
            <w:tcW w:w="4100" w:type="dxa"/>
            <w:vAlign w:val="bottom"/>
            <w:gridSpan w:val="39"/>
          </w:tcPr>
          <w:p>
            <w:pPr>
              <w:spacing w:after="0"/>
              <w:rPr>
                <w:rFonts w:ascii="Arial" w:cs="Arial" w:eastAsia="Arial" w:hAnsi="Arial"/>
                <w:sz w:val="14"/>
                <w:szCs w:val="14"/>
                <w:u w:val="single" w:color="auto"/>
                <w:color w:val="0000FF"/>
              </w:rPr>
            </w:pPr>
            <w:hyperlink w:anchor="page101">
              <w:r>
                <w:rPr>
                  <w:rFonts w:ascii="Arial" w:cs="Arial" w:eastAsia="Arial" w:hAnsi="Arial"/>
                  <w:sz w:val="14"/>
                  <w:szCs w:val="14"/>
                  <w:u w:val="single" w:color="auto"/>
                  <w:color w:val="0000FF"/>
                </w:rPr>
                <w:t>Description of Securities</w:t>
              </w:r>
            </w:hyperlink>
          </w:p>
        </w:tc>
        <w:tc>
          <w:tcPr>
            <w:tcW w:w="1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60"/>
        </w:trPr>
        <w:tc>
          <w:tcPr>
            <w:tcW w:w="1160" w:type="dxa"/>
            <w:vAlign w:val="bottom"/>
          </w:tcPr>
          <w:p>
            <w:pPr>
              <w:spacing w:after="0"/>
              <w:rPr>
                <w:sz w:val="20"/>
                <w:szCs w:val="20"/>
                <w:color w:val="auto"/>
              </w:rPr>
            </w:pPr>
            <w:r>
              <w:rPr>
                <w:rFonts w:ascii="Arial" w:cs="Arial" w:eastAsia="Arial" w:hAnsi="Arial"/>
                <w:sz w:val="14"/>
                <w:szCs w:val="14"/>
                <w:color w:val="auto"/>
              </w:rPr>
              <w:t>10.1#</w:t>
            </w:r>
          </w:p>
        </w:tc>
        <w:tc>
          <w:tcPr>
            <w:tcW w:w="4100" w:type="dxa"/>
            <w:vAlign w:val="bottom"/>
            <w:gridSpan w:val="39"/>
          </w:tcPr>
          <w:p>
            <w:pPr>
              <w:spacing w:after="0"/>
              <w:rPr>
                <w:rFonts w:ascii="Arial" w:cs="Arial" w:eastAsia="Arial" w:hAnsi="Arial"/>
                <w:sz w:val="14"/>
                <w:szCs w:val="14"/>
                <w:color w:val="0000FF"/>
                <w:w w:val="99"/>
              </w:rPr>
            </w:pPr>
            <w:hyperlink r:id="rId128">
              <w:r>
                <w:rPr>
                  <w:rFonts w:ascii="Arial" w:cs="Arial" w:eastAsia="Arial" w:hAnsi="Arial"/>
                  <w:sz w:val="14"/>
                  <w:szCs w:val="14"/>
                  <w:color w:val="0000FF"/>
                  <w:w w:val="99"/>
                </w:rPr>
                <w:t>Zoom Video Communications, Inc. Fourth Amended and Restated</w:t>
              </w:r>
            </w:hyperlink>
          </w:p>
        </w:tc>
        <w:tc>
          <w:tcPr>
            <w:tcW w:w="1200" w:type="dxa"/>
            <w:vAlign w:val="bottom"/>
          </w:tcPr>
          <w:p>
            <w:pPr>
              <w:ind w:left="20"/>
              <w:spacing w:after="0"/>
              <w:rPr>
                <w:sz w:val="20"/>
                <w:szCs w:val="20"/>
                <w:color w:val="auto"/>
              </w:rPr>
            </w:pPr>
            <w:r>
              <w:rPr>
                <w:rFonts w:ascii="Arial" w:cs="Arial" w:eastAsia="Arial" w:hAnsi="Arial"/>
                <w:sz w:val="14"/>
                <w:szCs w:val="14"/>
                <w:color w:val="auto"/>
              </w:rPr>
              <w:t>S-1</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1500" w:type="dxa"/>
            <w:vAlign w:val="bottom"/>
          </w:tcPr>
          <w:p>
            <w:pPr>
              <w:ind w:left="300"/>
              <w:spacing w:after="0"/>
              <w:rPr>
                <w:sz w:val="20"/>
                <w:szCs w:val="20"/>
                <w:color w:val="auto"/>
              </w:rPr>
            </w:pPr>
            <w:r>
              <w:rPr>
                <w:rFonts w:ascii="Arial" w:cs="Arial" w:eastAsia="Arial" w:hAnsi="Arial"/>
                <w:sz w:val="14"/>
                <w:szCs w:val="14"/>
                <w:color w:val="auto"/>
              </w:rPr>
              <w:t>10.1</w:t>
            </w:r>
          </w:p>
        </w:tc>
        <w:tc>
          <w:tcPr>
            <w:tcW w:w="1700" w:type="dxa"/>
            <w:vAlign w:val="bottom"/>
          </w:tcPr>
          <w:p>
            <w:pPr>
              <w:ind w:left="280"/>
              <w:spacing w:after="0"/>
              <w:rPr>
                <w:sz w:val="20"/>
                <w:szCs w:val="20"/>
                <w:color w:val="auto"/>
              </w:rPr>
            </w:pPr>
            <w:r>
              <w:rPr>
                <w:rFonts w:ascii="Arial" w:cs="Arial" w:eastAsia="Arial" w:hAnsi="Arial"/>
                <w:sz w:val="14"/>
                <w:szCs w:val="14"/>
                <w:color w:val="auto"/>
              </w:rPr>
              <w:t>March 22, 2019</w:t>
            </w:r>
          </w:p>
        </w:tc>
      </w:tr>
      <w:tr>
        <w:trPr>
          <w:trHeight w:val="150"/>
        </w:trPr>
        <w:tc>
          <w:tcPr>
            <w:tcW w:w="1160" w:type="dxa"/>
            <w:vAlign w:val="bottom"/>
          </w:tcPr>
          <w:p>
            <w:pPr>
              <w:spacing w:after="0"/>
              <w:rPr>
                <w:sz w:val="13"/>
                <w:szCs w:val="13"/>
                <w:color w:val="auto"/>
              </w:rPr>
            </w:pPr>
          </w:p>
        </w:tc>
        <w:tc>
          <w:tcPr>
            <w:tcW w:w="3820" w:type="dxa"/>
            <w:vAlign w:val="bottom"/>
            <w:tcBorders>
              <w:top w:val="single" w:sz="8" w:color="0000FF"/>
            </w:tcBorders>
            <w:gridSpan w:val="29"/>
          </w:tcPr>
          <w:p>
            <w:pPr>
              <w:spacing w:after="0" w:line="151" w:lineRule="exact"/>
              <w:rPr>
                <w:rFonts w:ascii="Arial" w:cs="Arial" w:eastAsia="Arial" w:hAnsi="Arial"/>
                <w:sz w:val="14"/>
                <w:szCs w:val="14"/>
                <w:u w:val="single" w:color="auto"/>
                <w:color w:val="0000FF"/>
                <w:w w:val="98"/>
              </w:rPr>
            </w:pPr>
            <w:hyperlink r:id="rId128">
              <w:r>
                <w:rPr>
                  <w:rFonts w:ascii="Arial" w:cs="Arial" w:eastAsia="Arial" w:hAnsi="Arial"/>
                  <w:sz w:val="14"/>
                  <w:szCs w:val="14"/>
                  <w:u w:val="single" w:color="auto"/>
                  <w:color w:val="0000FF"/>
                  <w:w w:val="98"/>
                </w:rPr>
                <w:t>2011 Global Share Plan, and forms of agreements thereunder.</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54"/>
        </w:trPr>
        <w:tc>
          <w:tcPr>
            <w:tcW w:w="1160" w:type="dxa"/>
            <w:vAlign w:val="bottom"/>
          </w:tcPr>
          <w:p>
            <w:pPr>
              <w:spacing w:after="0" w:line="154" w:lineRule="exact"/>
              <w:rPr>
                <w:sz w:val="20"/>
                <w:szCs w:val="20"/>
                <w:color w:val="auto"/>
              </w:rPr>
            </w:pPr>
            <w:r>
              <w:rPr>
                <w:rFonts w:ascii="Arial" w:cs="Arial" w:eastAsia="Arial" w:hAnsi="Arial"/>
                <w:sz w:val="14"/>
                <w:szCs w:val="14"/>
                <w:color w:val="auto"/>
              </w:rPr>
              <w:t>10.2#</w:t>
            </w:r>
          </w:p>
        </w:tc>
        <w:tc>
          <w:tcPr>
            <w:tcW w:w="4100" w:type="dxa"/>
            <w:vAlign w:val="bottom"/>
            <w:gridSpan w:val="39"/>
          </w:tcPr>
          <w:p>
            <w:pPr>
              <w:spacing w:after="0" w:line="154" w:lineRule="exact"/>
              <w:rPr>
                <w:rFonts w:ascii="Arial" w:cs="Arial" w:eastAsia="Arial" w:hAnsi="Arial"/>
                <w:sz w:val="14"/>
                <w:szCs w:val="14"/>
                <w:color w:val="auto"/>
                <w:w w:val="99"/>
              </w:rPr>
            </w:pPr>
            <w:hyperlink r:id="rId129">
              <w:r>
                <w:rPr>
                  <w:rFonts w:ascii="Arial" w:cs="Arial" w:eastAsia="Arial" w:hAnsi="Arial"/>
                  <w:sz w:val="14"/>
                  <w:szCs w:val="14"/>
                  <w:color w:val="auto"/>
                  <w:w w:val="99"/>
                </w:rPr>
                <w:t>Zoom Video Communications, Inc. 2019 Equity Incentive Plan and</w:t>
              </w:r>
            </w:hyperlink>
          </w:p>
        </w:tc>
        <w:tc>
          <w:tcPr>
            <w:tcW w:w="1200" w:type="dxa"/>
            <w:vAlign w:val="bottom"/>
          </w:tcPr>
          <w:p>
            <w:pPr>
              <w:ind w:left="20"/>
              <w:spacing w:after="0" w:line="154" w:lineRule="exact"/>
              <w:rPr>
                <w:sz w:val="20"/>
                <w:szCs w:val="20"/>
                <w:color w:val="auto"/>
              </w:rPr>
            </w:pPr>
            <w:r>
              <w:rPr>
                <w:rFonts w:ascii="Arial" w:cs="Arial" w:eastAsia="Arial" w:hAnsi="Arial"/>
                <w:sz w:val="14"/>
                <w:szCs w:val="14"/>
                <w:color w:val="auto"/>
              </w:rPr>
              <w:t>S-1/A</w:t>
            </w:r>
          </w:p>
        </w:tc>
        <w:tc>
          <w:tcPr>
            <w:tcW w:w="1560" w:type="dxa"/>
            <w:vAlign w:val="bottom"/>
          </w:tcPr>
          <w:p>
            <w:pPr>
              <w:ind w:left="340"/>
              <w:spacing w:after="0" w:line="154" w:lineRule="exact"/>
              <w:rPr>
                <w:sz w:val="20"/>
                <w:szCs w:val="20"/>
                <w:color w:val="auto"/>
              </w:rPr>
            </w:pPr>
            <w:r>
              <w:rPr>
                <w:rFonts w:ascii="Arial" w:cs="Arial" w:eastAsia="Arial" w:hAnsi="Arial"/>
                <w:sz w:val="14"/>
                <w:szCs w:val="14"/>
                <w:color w:val="auto"/>
              </w:rPr>
              <w:t>333-230444</w:t>
            </w:r>
          </w:p>
        </w:tc>
        <w:tc>
          <w:tcPr>
            <w:tcW w:w="1500" w:type="dxa"/>
            <w:vAlign w:val="bottom"/>
          </w:tcPr>
          <w:p>
            <w:pPr>
              <w:ind w:left="300"/>
              <w:spacing w:after="0" w:line="154" w:lineRule="exact"/>
              <w:rPr>
                <w:sz w:val="20"/>
                <w:szCs w:val="20"/>
                <w:color w:val="auto"/>
              </w:rPr>
            </w:pPr>
            <w:r>
              <w:rPr>
                <w:rFonts w:ascii="Arial" w:cs="Arial" w:eastAsia="Arial" w:hAnsi="Arial"/>
                <w:sz w:val="14"/>
                <w:szCs w:val="14"/>
                <w:color w:val="auto"/>
              </w:rPr>
              <w:t>10.2</w:t>
            </w:r>
          </w:p>
        </w:tc>
        <w:tc>
          <w:tcPr>
            <w:tcW w:w="1700" w:type="dxa"/>
            <w:vAlign w:val="bottom"/>
          </w:tcPr>
          <w:p>
            <w:pPr>
              <w:ind w:left="280"/>
              <w:spacing w:after="0" w:line="154" w:lineRule="exact"/>
              <w:rPr>
                <w:sz w:val="20"/>
                <w:szCs w:val="20"/>
                <w:color w:val="auto"/>
              </w:rPr>
            </w:pPr>
            <w:r>
              <w:rPr>
                <w:rFonts w:ascii="Arial" w:cs="Arial" w:eastAsia="Arial" w:hAnsi="Arial"/>
                <w:sz w:val="14"/>
                <w:szCs w:val="14"/>
                <w:color w:val="auto"/>
              </w:rPr>
              <w:t>April 8. 2019</w:t>
            </w:r>
          </w:p>
        </w:tc>
      </w:tr>
      <w:tr>
        <w:trPr>
          <w:trHeight w:val="115"/>
        </w:trPr>
        <w:tc>
          <w:tcPr>
            <w:tcW w:w="1160" w:type="dxa"/>
            <w:vAlign w:val="bottom"/>
          </w:tcPr>
          <w:p>
            <w:pPr>
              <w:spacing w:after="0"/>
              <w:rPr>
                <w:sz w:val="10"/>
                <w:szCs w:val="10"/>
                <w:color w:val="auto"/>
              </w:rPr>
            </w:pPr>
          </w:p>
        </w:tc>
        <w:tc>
          <w:tcPr>
            <w:tcW w:w="1880" w:type="dxa"/>
            <w:vAlign w:val="bottom"/>
            <w:tcBorders>
              <w:top w:val="single" w:sz="8" w:color="auto"/>
              <w:bottom w:val="single" w:sz="8" w:color="auto"/>
            </w:tcBorders>
            <w:gridSpan w:val="8"/>
          </w:tcPr>
          <w:p>
            <w:pPr>
              <w:spacing w:after="0" w:line="115" w:lineRule="exact"/>
              <w:rPr>
                <w:rFonts w:ascii="Arial" w:cs="Arial" w:eastAsia="Arial" w:hAnsi="Arial"/>
                <w:sz w:val="13"/>
                <w:szCs w:val="13"/>
                <w:color w:val="auto"/>
                <w:w w:val="98"/>
              </w:rPr>
            </w:pPr>
            <w:hyperlink r:id="rId129">
              <w:r>
                <w:rPr>
                  <w:rFonts w:ascii="Arial" w:cs="Arial" w:eastAsia="Arial" w:hAnsi="Arial"/>
                  <w:sz w:val="13"/>
                  <w:szCs w:val="13"/>
                  <w:color w:val="auto"/>
                  <w:w w:val="98"/>
                </w:rPr>
                <w:t>forms of agreements thereunder.</w:t>
              </w:r>
            </w:hyperlink>
          </w:p>
        </w:tc>
        <w:tc>
          <w:tcPr>
            <w:tcW w:w="2000" w:type="dxa"/>
            <w:vAlign w:val="bottom"/>
            <w:tcBorders>
              <w:top w:val="single" w:sz="8" w:color="auto"/>
            </w:tcBorders>
            <w:gridSpan w:val="2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10.3</w:t>
            </w:r>
          </w:p>
        </w:tc>
        <w:tc>
          <w:tcPr>
            <w:tcW w:w="4100" w:type="dxa"/>
            <w:vAlign w:val="bottom"/>
            <w:gridSpan w:val="39"/>
          </w:tcPr>
          <w:p>
            <w:pPr>
              <w:spacing w:after="0"/>
              <w:rPr>
                <w:rFonts w:ascii="Arial" w:cs="Arial" w:eastAsia="Arial" w:hAnsi="Arial"/>
                <w:sz w:val="14"/>
                <w:szCs w:val="14"/>
                <w:color w:val="0000FF"/>
                <w:w w:val="97"/>
              </w:rPr>
            </w:pPr>
            <w:hyperlink r:id="rId130">
              <w:r>
                <w:rPr>
                  <w:rFonts w:ascii="Arial" w:cs="Arial" w:eastAsia="Arial" w:hAnsi="Arial"/>
                  <w:sz w:val="14"/>
                  <w:szCs w:val="14"/>
                  <w:color w:val="0000FF"/>
                  <w:w w:val="97"/>
                </w:rPr>
                <w:t>Zoom Video Communications, Inc. 2019 Equity Incentive Plan Non-</w:t>
              </w:r>
            </w:hyperlink>
          </w:p>
        </w:tc>
        <w:tc>
          <w:tcPr>
            <w:tcW w:w="1200" w:type="dxa"/>
            <w:vAlign w:val="bottom"/>
          </w:tcPr>
          <w:p>
            <w:pPr>
              <w:ind w:left="20"/>
              <w:spacing w:after="0"/>
              <w:rPr>
                <w:sz w:val="20"/>
                <w:szCs w:val="20"/>
                <w:color w:val="auto"/>
              </w:rPr>
            </w:pPr>
            <w:r>
              <w:rPr>
                <w:rFonts w:ascii="Arial" w:cs="Arial" w:eastAsia="Arial" w:hAnsi="Arial"/>
                <w:sz w:val="14"/>
                <w:szCs w:val="14"/>
                <w:color w:val="auto"/>
              </w:rPr>
              <w:t>10-Q</w:t>
            </w:r>
          </w:p>
        </w:tc>
        <w:tc>
          <w:tcPr>
            <w:tcW w:w="1560" w:type="dxa"/>
            <w:vAlign w:val="bottom"/>
          </w:tcPr>
          <w:p>
            <w:pPr>
              <w:ind w:left="340"/>
              <w:spacing w:after="0"/>
              <w:rPr>
                <w:sz w:val="20"/>
                <w:szCs w:val="20"/>
                <w:color w:val="auto"/>
              </w:rPr>
            </w:pPr>
            <w:r>
              <w:rPr>
                <w:rFonts w:ascii="Arial" w:cs="Arial" w:eastAsia="Arial" w:hAnsi="Arial"/>
                <w:sz w:val="14"/>
                <w:szCs w:val="14"/>
                <w:color w:val="auto"/>
              </w:rPr>
              <w:t>001-38865</w:t>
            </w:r>
          </w:p>
        </w:tc>
        <w:tc>
          <w:tcPr>
            <w:tcW w:w="1500" w:type="dxa"/>
            <w:vAlign w:val="bottom"/>
          </w:tcPr>
          <w:p>
            <w:pPr>
              <w:ind w:left="300"/>
              <w:spacing w:after="0"/>
              <w:rPr>
                <w:sz w:val="20"/>
                <w:szCs w:val="20"/>
                <w:color w:val="auto"/>
              </w:rPr>
            </w:pPr>
            <w:r>
              <w:rPr>
                <w:rFonts w:ascii="Arial" w:cs="Arial" w:eastAsia="Arial" w:hAnsi="Arial"/>
                <w:sz w:val="14"/>
                <w:szCs w:val="14"/>
                <w:color w:val="auto"/>
              </w:rPr>
              <w:t>10.3</w:t>
            </w:r>
          </w:p>
        </w:tc>
        <w:tc>
          <w:tcPr>
            <w:tcW w:w="1700" w:type="dxa"/>
            <w:vAlign w:val="bottom"/>
          </w:tcPr>
          <w:p>
            <w:pPr>
              <w:ind w:left="280"/>
              <w:spacing w:after="0"/>
              <w:rPr>
                <w:sz w:val="20"/>
                <w:szCs w:val="20"/>
                <w:color w:val="auto"/>
              </w:rPr>
            </w:pPr>
            <w:r>
              <w:rPr>
                <w:rFonts w:ascii="Arial" w:cs="Arial" w:eastAsia="Arial" w:hAnsi="Arial"/>
                <w:sz w:val="14"/>
                <w:szCs w:val="14"/>
                <w:color w:val="auto"/>
              </w:rPr>
              <w:t>September 3, 2020</w:t>
            </w:r>
          </w:p>
        </w:tc>
      </w:tr>
      <w:tr>
        <w:trPr>
          <w:trHeight w:val="115"/>
        </w:trPr>
        <w:tc>
          <w:tcPr>
            <w:tcW w:w="1160" w:type="dxa"/>
            <w:vAlign w:val="bottom"/>
          </w:tcPr>
          <w:p>
            <w:pPr>
              <w:spacing w:after="0"/>
              <w:rPr>
                <w:sz w:val="10"/>
                <w:szCs w:val="10"/>
                <w:color w:val="auto"/>
              </w:rPr>
            </w:pPr>
          </w:p>
        </w:tc>
        <w:tc>
          <w:tcPr>
            <w:tcW w:w="4020" w:type="dxa"/>
            <w:vAlign w:val="bottom"/>
            <w:tcBorders>
              <w:top w:val="single" w:sz="8" w:color="0000FF"/>
            </w:tcBorders>
            <w:gridSpan w:val="38"/>
          </w:tcPr>
          <w:p>
            <w:pPr>
              <w:spacing w:after="0" w:line="115" w:lineRule="exact"/>
              <w:rPr>
                <w:rFonts w:ascii="Arial" w:cs="Arial" w:eastAsia="Arial" w:hAnsi="Arial"/>
                <w:sz w:val="13"/>
                <w:szCs w:val="13"/>
                <w:color w:val="0000FF"/>
              </w:rPr>
            </w:pPr>
            <w:hyperlink r:id="rId130">
              <w:r>
                <w:rPr>
                  <w:rFonts w:ascii="Arial" w:cs="Arial" w:eastAsia="Arial" w:hAnsi="Arial"/>
                  <w:sz w:val="13"/>
                  <w:szCs w:val="13"/>
                  <w:color w:val="0000FF"/>
                </w:rPr>
                <w:t>Employee Director Global Restricted Stock Unit Award Grant</w:t>
              </w:r>
            </w:hyperlink>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15"/>
        </w:trPr>
        <w:tc>
          <w:tcPr>
            <w:tcW w:w="1160" w:type="dxa"/>
            <w:vAlign w:val="bottom"/>
          </w:tcPr>
          <w:p>
            <w:pPr>
              <w:spacing w:after="0"/>
              <w:rPr>
                <w:sz w:val="10"/>
                <w:szCs w:val="10"/>
                <w:color w:val="auto"/>
              </w:rPr>
            </w:pPr>
          </w:p>
        </w:tc>
        <w:tc>
          <w:tcPr>
            <w:tcW w:w="3580" w:type="dxa"/>
            <w:vAlign w:val="bottom"/>
            <w:tcBorders>
              <w:top w:val="single" w:sz="8" w:color="0000FF"/>
            </w:tcBorders>
            <w:gridSpan w:val="22"/>
          </w:tcPr>
          <w:p>
            <w:pPr>
              <w:spacing w:after="0" w:line="115" w:lineRule="exact"/>
              <w:rPr>
                <w:rFonts w:ascii="Arial" w:cs="Arial" w:eastAsia="Arial" w:hAnsi="Arial"/>
                <w:sz w:val="13"/>
                <w:szCs w:val="13"/>
                <w:color w:val="0000FF"/>
              </w:rPr>
            </w:pPr>
            <w:hyperlink r:id="rId130">
              <w:r>
                <w:rPr>
                  <w:rFonts w:ascii="Arial" w:cs="Arial" w:eastAsia="Arial" w:hAnsi="Arial"/>
                  <w:sz w:val="13"/>
                  <w:szCs w:val="13"/>
                  <w:color w:val="0000FF"/>
                </w:rPr>
                <w:t>Notice, as amended</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10.4</w:t>
            </w:r>
          </w:p>
        </w:tc>
        <w:tc>
          <w:tcPr>
            <w:tcW w:w="4100" w:type="dxa"/>
            <w:vAlign w:val="bottom"/>
            <w:gridSpan w:val="39"/>
          </w:tcPr>
          <w:p>
            <w:pPr>
              <w:spacing w:after="0"/>
              <w:rPr>
                <w:rFonts w:ascii="Arial" w:cs="Arial" w:eastAsia="Arial" w:hAnsi="Arial"/>
                <w:sz w:val="14"/>
                <w:szCs w:val="14"/>
                <w:color w:val="0000FF"/>
              </w:rPr>
            </w:pPr>
            <w:hyperlink r:id="rId131">
              <w:r>
                <w:rPr>
                  <w:rFonts w:ascii="Arial" w:cs="Arial" w:eastAsia="Arial" w:hAnsi="Arial"/>
                  <w:sz w:val="14"/>
                  <w:szCs w:val="14"/>
                  <w:color w:val="0000FF"/>
                </w:rPr>
                <w:t>Zoom Video Communications, Inc. 2019 Equity Incentive Plan</w:t>
              </w:r>
            </w:hyperlink>
          </w:p>
        </w:tc>
        <w:tc>
          <w:tcPr>
            <w:tcW w:w="1200" w:type="dxa"/>
            <w:vAlign w:val="bottom"/>
          </w:tcPr>
          <w:p>
            <w:pPr>
              <w:ind w:left="20"/>
              <w:spacing w:after="0"/>
              <w:rPr>
                <w:sz w:val="20"/>
                <w:szCs w:val="20"/>
                <w:color w:val="auto"/>
              </w:rPr>
            </w:pPr>
            <w:r>
              <w:rPr>
                <w:rFonts w:ascii="Arial" w:cs="Arial" w:eastAsia="Arial" w:hAnsi="Arial"/>
                <w:sz w:val="14"/>
                <w:szCs w:val="14"/>
                <w:color w:val="auto"/>
              </w:rPr>
              <w:t>10-Q</w:t>
            </w:r>
          </w:p>
        </w:tc>
        <w:tc>
          <w:tcPr>
            <w:tcW w:w="1560" w:type="dxa"/>
            <w:vAlign w:val="bottom"/>
          </w:tcPr>
          <w:p>
            <w:pPr>
              <w:ind w:left="340"/>
              <w:spacing w:after="0"/>
              <w:rPr>
                <w:sz w:val="20"/>
                <w:szCs w:val="20"/>
                <w:color w:val="auto"/>
              </w:rPr>
            </w:pPr>
            <w:r>
              <w:rPr>
                <w:rFonts w:ascii="Arial" w:cs="Arial" w:eastAsia="Arial" w:hAnsi="Arial"/>
                <w:sz w:val="14"/>
                <w:szCs w:val="14"/>
                <w:color w:val="auto"/>
              </w:rPr>
              <w:t>001-38865</w:t>
            </w:r>
          </w:p>
        </w:tc>
        <w:tc>
          <w:tcPr>
            <w:tcW w:w="1500" w:type="dxa"/>
            <w:vAlign w:val="bottom"/>
          </w:tcPr>
          <w:p>
            <w:pPr>
              <w:ind w:left="300"/>
              <w:spacing w:after="0"/>
              <w:rPr>
                <w:sz w:val="20"/>
                <w:szCs w:val="20"/>
                <w:color w:val="auto"/>
              </w:rPr>
            </w:pPr>
            <w:r>
              <w:rPr>
                <w:rFonts w:ascii="Arial" w:cs="Arial" w:eastAsia="Arial" w:hAnsi="Arial"/>
                <w:sz w:val="14"/>
                <w:szCs w:val="14"/>
                <w:color w:val="auto"/>
              </w:rPr>
              <w:t>10.1</w:t>
            </w:r>
          </w:p>
        </w:tc>
        <w:tc>
          <w:tcPr>
            <w:tcW w:w="1700" w:type="dxa"/>
            <w:vAlign w:val="bottom"/>
          </w:tcPr>
          <w:p>
            <w:pPr>
              <w:ind w:left="280"/>
              <w:spacing w:after="0"/>
              <w:rPr>
                <w:sz w:val="20"/>
                <w:szCs w:val="20"/>
                <w:color w:val="auto"/>
              </w:rPr>
            </w:pPr>
            <w:r>
              <w:rPr>
                <w:rFonts w:ascii="Arial" w:cs="Arial" w:eastAsia="Arial" w:hAnsi="Arial"/>
                <w:sz w:val="14"/>
                <w:szCs w:val="14"/>
                <w:color w:val="auto"/>
              </w:rPr>
              <w:t>December 4, 2020</w:t>
            </w:r>
          </w:p>
        </w:tc>
      </w:tr>
      <w:tr>
        <w:trPr>
          <w:trHeight w:val="115"/>
        </w:trPr>
        <w:tc>
          <w:tcPr>
            <w:tcW w:w="1160" w:type="dxa"/>
            <w:vAlign w:val="bottom"/>
          </w:tcPr>
          <w:p>
            <w:pPr>
              <w:spacing w:after="0"/>
              <w:rPr>
                <w:sz w:val="10"/>
                <w:szCs w:val="10"/>
                <w:color w:val="auto"/>
              </w:rPr>
            </w:pPr>
          </w:p>
        </w:tc>
        <w:tc>
          <w:tcPr>
            <w:tcW w:w="3660" w:type="dxa"/>
            <w:vAlign w:val="bottom"/>
            <w:tcBorders>
              <w:top w:val="single" w:sz="8" w:color="0000FF"/>
              <w:bottom w:val="single" w:sz="8" w:color="0000FF"/>
            </w:tcBorders>
            <w:gridSpan w:val="24"/>
          </w:tcPr>
          <w:p>
            <w:pPr>
              <w:spacing w:after="0" w:line="115" w:lineRule="exact"/>
              <w:rPr>
                <w:rFonts w:ascii="Arial" w:cs="Arial" w:eastAsia="Arial" w:hAnsi="Arial"/>
                <w:sz w:val="13"/>
                <w:szCs w:val="13"/>
                <w:color w:val="0000FF"/>
              </w:rPr>
            </w:pPr>
            <w:hyperlink r:id="rId131">
              <w:r>
                <w:rPr>
                  <w:rFonts w:ascii="Arial" w:cs="Arial" w:eastAsia="Arial" w:hAnsi="Arial"/>
                  <w:sz w:val="13"/>
                  <w:szCs w:val="13"/>
                  <w:color w:val="0000FF"/>
                </w:rPr>
                <w:t>Global Restricted Stock Unit Award Grant Notice for Executive</w:t>
              </w:r>
            </w:hyperlink>
          </w:p>
        </w:tc>
        <w:tc>
          <w:tcPr>
            <w:tcW w:w="20" w:type="dxa"/>
            <w:vAlign w:val="bottom"/>
            <w:tcBorders>
              <w:bottom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15"/>
        </w:trPr>
        <w:tc>
          <w:tcPr>
            <w:tcW w:w="1160" w:type="dxa"/>
            <w:vAlign w:val="bottom"/>
          </w:tcPr>
          <w:p>
            <w:pPr>
              <w:spacing w:after="0"/>
              <w:rPr>
                <w:sz w:val="10"/>
                <w:szCs w:val="10"/>
                <w:color w:val="auto"/>
              </w:rPr>
            </w:pPr>
          </w:p>
        </w:tc>
        <w:tc>
          <w:tcPr>
            <w:tcW w:w="3680" w:type="dxa"/>
            <w:vAlign w:val="bottom"/>
            <w:gridSpan w:val="25"/>
          </w:tcPr>
          <w:p>
            <w:pPr>
              <w:spacing w:after="0" w:line="115" w:lineRule="exact"/>
              <w:rPr>
                <w:rFonts w:ascii="Arial" w:cs="Arial" w:eastAsia="Arial" w:hAnsi="Arial"/>
                <w:sz w:val="13"/>
                <w:szCs w:val="13"/>
                <w:color w:val="0000FF"/>
              </w:rPr>
            </w:pPr>
            <w:hyperlink r:id="rId131">
              <w:r>
                <w:rPr>
                  <w:rFonts w:ascii="Arial" w:cs="Arial" w:eastAsia="Arial" w:hAnsi="Arial"/>
                  <w:sz w:val="13"/>
                  <w:szCs w:val="13"/>
                  <w:color w:val="0000FF"/>
                </w:rPr>
                <w:t>Officers, as amended</w:t>
              </w:r>
            </w:hyperlink>
          </w:p>
        </w:tc>
        <w:tc>
          <w:tcPr>
            <w:tcW w:w="40" w:type="dxa"/>
            <w:vAlign w:val="bottom"/>
          </w:tcPr>
          <w:p>
            <w:pPr>
              <w:spacing w:after="0"/>
              <w:rPr>
                <w:sz w:val="10"/>
                <w:szCs w:val="10"/>
                <w:color w:val="auto"/>
              </w:rPr>
            </w:pPr>
          </w:p>
        </w:tc>
        <w:tc>
          <w:tcPr>
            <w:tcW w:w="180" w:type="dxa"/>
            <w:vAlign w:val="bottom"/>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10.5#</w:t>
            </w:r>
          </w:p>
        </w:tc>
        <w:tc>
          <w:tcPr>
            <w:tcW w:w="4100" w:type="dxa"/>
            <w:vAlign w:val="bottom"/>
            <w:gridSpan w:val="39"/>
          </w:tcPr>
          <w:p>
            <w:pPr>
              <w:spacing w:after="0"/>
              <w:rPr>
                <w:rFonts w:ascii="Arial" w:cs="Arial" w:eastAsia="Arial" w:hAnsi="Arial"/>
                <w:sz w:val="14"/>
                <w:szCs w:val="14"/>
                <w:color w:val="auto"/>
                <w:w w:val="97"/>
              </w:rPr>
            </w:pPr>
            <w:hyperlink r:id="rId132">
              <w:r>
                <w:rPr>
                  <w:rFonts w:ascii="Arial" w:cs="Arial" w:eastAsia="Arial" w:hAnsi="Arial"/>
                  <w:sz w:val="14"/>
                  <w:szCs w:val="14"/>
                  <w:color w:val="auto"/>
                  <w:w w:val="97"/>
                </w:rPr>
                <w:t>Zoom Video Communications, Inc. 2019 Employee Stock Purchase</w:t>
              </w:r>
            </w:hyperlink>
          </w:p>
        </w:tc>
        <w:tc>
          <w:tcPr>
            <w:tcW w:w="1200" w:type="dxa"/>
            <w:vAlign w:val="bottom"/>
          </w:tcPr>
          <w:p>
            <w:pPr>
              <w:ind w:left="20"/>
              <w:spacing w:after="0"/>
              <w:rPr>
                <w:sz w:val="20"/>
                <w:szCs w:val="20"/>
                <w:color w:val="auto"/>
              </w:rPr>
            </w:pPr>
            <w:r>
              <w:rPr>
                <w:rFonts w:ascii="Arial" w:cs="Arial" w:eastAsia="Arial" w:hAnsi="Arial"/>
                <w:sz w:val="14"/>
                <w:szCs w:val="14"/>
                <w:color w:val="auto"/>
              </w:rPr>
              <w:t>S-1/A</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1500" w:type="dxa"/>
            <w:vAlign w:val="bottom"/>
          </w:tcPr>
          <w:p>
            <w:pPr>
              <w:ind w:left="300"/>
              <w:spacing w:after="0"/>
              <w:rPr>
                <w:sz w:val="20"/>
                <w:szCs w:val="20"/>
                <w:color w:val="auto"/>
              </w:rPr>
            </w:pPr>
            <w:r>
              <w:rPr>
                <w:rFonts w:ascii="Arial" w:cs="Arial" w:eastAsia="Arial" w:hAnsi="Arial"/>
                <w:sz w:val="14"/>
                <w:szCs w:val="14"/>
                <w:color w:val="auto"/>
              </w:rPr>
              <w:t>10.3</w:t>
            </w:r>
          </w:p>
        </w:tc>
        <w:tc>
          <w:tcPr>
            <w:tcW w:w="1700" w:type="dxa"/>
            <w:vAlign w:val="bottom"/>
          </w:tcPr>
          <w:p>
            <w:pPr>
              <w:ind w:left="280"/>
              <w:spacing w:after="0"/>
              <w:rPr>
                <w:sz w:val="20"/>
                <w:szCs w:val="20"/>
                <w:color w:val="auto"/>
              </w:rPr>
            </w:pPr>
            <w:r>
              <w:rPr>
                <w:rFonts w:ascii="Arial" w:cs="Arial" w:eastAsia="Arial" w:hAnsi="Arial"/>
                <w:sz w:val="14"/>
                <w:szCs w:val="14"/>
                <w:color w:val="auto"/>
              </w:rPr>
              <w:t>April 8, 2019</w:t>
            </w:r>
          </w:p>
        </w:tc>
      </w:tr>
      <w:tr>
        <w:trPr>
          <w:trHeight w:val="115"/>
        </w:trPr>
        <w:tc>
          <w:tcPr>
            <w:tcW w:w="1160" w:type="dxa"/>
            <w:vAlign w:val="bottom"/>
          </w:tcPr>
          <w:p>
            <w:pPr>
              <w:spacing w:after="0"/>
              <w:rPr>
                <w:sz w:val="10"/>
                <w:szCs w:val="10"/>
                <w:color w:val="auto"/>
              </w:rPr>
            </w:pPr>
          </w:p>
        </w:tc>
        <w:tc>
          <w:tcPr>
            <w:tcW w:w="3920" w:type="dxa"/>
            <w:vAlign w:val="bottom"/>
            <w:tcBorders>
              <w:top w:val="single" w:sz="8" w:color="auto"/>
            </w:tcBorders>
            <w:gridSpan w:val="33"/>
          </w:tcPr>
          <w:p>
            <w:pPr>
              <w:spacing w:after="0" w:line="115" w:lineRule="exact"/>
              <w:rPr>
                <w:rFonts w:ascii="Arial" w:cs="Arial" w:eastAsia="Arial" w:hAnsi="Arial"/>
                <w:sz w:val="13"/>
                <w:szCs w:val="13"/>
                <w:color w:val="auto"/>
              </w:rPr>
            </w:pPr>
            <w:hyperlink r:id="rId132">
              <w:r>
                <w:rPr>
                  <w:rFonts w:ascii="Arial" w:cs="Arial" w:eastAsia="Arial" w:hAnsi="Arial"/>
                  <w:sz w:val="13"/>
                  <w:szCs w:val="13"/>
                  <w:color w:val="auto"/>
                </w:rPr>
                <w:t>Plan.</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10.6#</w:t>
            </w:r>
          </w:p>
        </w:tc>
        <w:tc>
          <w:tcPr>
            <w:tcW w:w="4100" w:type="dxa"/>
            <w:vAlign w:val="bottom"/>
            <w:gridSpan w:val="39"/>
          </w:tcPr>
          <w:p>
            <w:pPr>
              <w:spacing w:after="0"/>
              <w:rPr>
                <w:rFonts w:ascii="Arial" w:cs="Arial" w:eastAsia="Arial" w:hAnsi="Arial"/>
                <w:sz w:val="14"/>
                <w:szCs w:val="14"/>
                <w:color w:val="0000FF"/>
                <w:w w:val="96"/>
              </w:rPr>
            </w:pPr>
            <w:hyperlink r:id="rId133">
              <w:r>
                <w:rPr>
                  <w:rFonts w:ascii="Arial" w:cs="Arial" w:eastAsia="Arial" w:hAnsi="Arial"/>
                  <w:sz w:val="14"/>
                  <w:szCs w:val="14"/>
                  <w:color w:val="0000FF"/>
                  <w:w w:val="96"/>
                </w:rPr>
                <w:t>Form of Indemnification Agreement entered into by and between the</w:t>
              </w:r>
            </w:hyperlink>
          </w:p>
        </w:tc>
        <w:tc>
          <w:tcPr>
            <w:tcW w:w="1200" w:type="dxa"/>
            <w:vAlign w:val="bottom"/>
          </w:tcPr>
          <w:p>
            <w:pPr>
              <w:ind w:left="20"/>
              <w:spacing w:after="0"/>
              <w:rPr>
                <w:sz w:val="20"/>
                <w:szCs w:val="20"/>
                <w:color w:val="auto"/>
              </w:rPr>
            </w:pPr>
            <w:r>
              <w:rPr>
                <w:rFonts w:ascii="Arial" w:cs="Arial" w:eastAsia="Arial" w:hAnsi="Arial"/>
                <w:sz w:val="14"/>
                <w:szCs w:val="14"/>
                <w:color w:val="auto"/>
              </w:rPr>
              <w:t>S-1</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1500" w:type="dxa"/>
            <w:vAlign w:val="bottom"/>
          </w:tcPr>
          <w:p>
            <w:pPr>
              <w:ind w:left="300"/>
              <w:spacing w:after="0"/>
              <w:rPr>
                <w:sz w:val="20"/>
                <w:szCs w:val="20"/>
                <w:color w:val="auto"/>
              </w:rPr>
            </w:pPr>
            <w:r>
              <w:rPr>
                <w:rFonts w:ascii="Arial" w:cs="Arial" w:eastAsia="Arial" w:hAnsi="Arial"/>
                <w:sz w:val="14"/>
                <w:szCs w:val="14"/>
                <w:color w:val="auto"/>
              </w:rPr>
              <w:t>10.4</w:t>
            </w:r>
          </w:p>
        </w:tc>
        <w:tc>
          <w:tcPr>
            <w:tcW w:w="1700" w:type="dxa"/>
            <w:vAlign w:val="bottom"/>
          </w:tcPr>
          <w:p>
            <w:pPr>
              <w:ind w:left="280"/>
              <w:spacing w:after="0"/>
              <w:rPr>
                <w:sz w:val="20"/>
                <w:szCs w:val="20"/>
                <w:color w:val="auto"/>
              </w:rPr>
            </w:pPr>
            <w:r>
              <w:rPr>
                <w:rFonts w:ascii="Arial" w:cs="Arial" w:eastAsia="Arial" w:hAnsi="Arial"/>
                <w:sz w:val="14"/>
                <w:szCs w:val="14"/>
                <w:color w:val="auto"/>
              </w:rPr>
              <w:t>March 22, 2019</w:t>
            </w:r>
          </w:p>
        </w:tc>
      </w:tr>
      <w:tr>
        <w:trPr>
          <w:trHeight w:val="115"/>
        </w:trPr>
        <w:tc>
          <w:tcPr>
            <w:tcW w:w="1160" w:type="dxa"/>
            <w:vAlign w:val="bottom"/>
          </w:tcPr>
          <w:p>
            <w:pPr>
              <w:spacing w:after="0"/>
              <w:rPr>
                <w:sz w:val="10"/>
                <w:szCs w:val="10"/>
                <w:color w:val="auto"/>
              </w:rPr>
            </w:pPr>
          </w:p>
        </w:tc>
        <w:tc>
          <w:tcPr>
            <w:tcW w:w="4000" w:type="dxa"/>
            <w:vAlign w:val="bottom"/>
            <w:tcBorders>
              <w:top w:val="single" w:sz="8" w:color="0000FF"/>
            </w:tcBorders>
            <w:gridSpan w:val="37"/>
          </w:tcPr>
          <w:p>
            <w:pPr>
              <w:spacing w:after="0" w:line="115" w:lineRule="exact"/>
              <w:rPr>
                <w:rFonts w:ascii="Arial" w:cs="Arial" w:eastAsia="Arial" w:hAnsi="Arial"/>
                <w:sz w:val="13"/>
                <w:szCs w:val="13"/>
                <w:color w:val="0000FF"/>
              </w:rPr>
            </w:pPr>
            <w:hyperlink r:id="rId133">
              <w:r>
                <w:rPr>
                  <w:rFonts w:ascii="Arial" w:cs="Arial" w:eastAsia="Arial" w:hAnsi="Arial"/>
                  <w:sz w:val="13"/>
                  <w:szCs w:val="13"/>
                  <w:color w:val="0000FF"/>
                </w:rPr>
                <w:t>Registrant and each director and executive officer.</w:t>
              </w:r>
            </w:hyperlink>
          </w:p>
        </w:tc>
        <w:tc>
          <w:tcPr>
            <w:tcW w:w="100" w:type="dxa"/>
            <w:vAlign w:val="bottom"/>
            <w:gridSpan w:val="2"/>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10.7#</w:t>
            </w:r>
          </w:p>
        </w:tc>
        <w:tc>
          <w:tcPr>
            <w:tcW w:w="4100" w:type="dxa"/>
            <w:vAlign w:val="bottom"/>
            <w:gridSpan w:val="39"/>
          </w:tcPr>
          <w:p>
            <w:pPr>
              <w:spacing w:after="0"/>
              <w:rPr>
                <w:rFonts w:ascii="Arial" w:cs="Arial" w:eastAsia="Arial" w:hAnsi="Arial"/>
                <w:sz w:val="14"/>
                <w:szCs w:val="14"/>
                <w:color w:val="0000FF"/>
              </w:rPr>
            </w:pPr>
            <w:hyperlink w:anchor="page108">
              <w:r>
                <w:rPr>
                  <w:rFonts w:ascii="Arial" w:cs="Arial" w:eastAsia="Arial" w:hAnsi="Arial"/>
                  <w:sz w:val="14"/>
                  <w:szCs w:val="14"/>
                  <w:color w:val="0000FF"/>
                </w:rPr>
                <w:t>Zoom Video Communications, Inc. Non-Employee Director</w:t>
              </w:r>
            </w:hyperlink>
          </w:p>
        </w:tc>
        <w:tc>
          <w:tcPr>
            <w:tcW w:w="1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15"/>
        </w:trPr>
        <w:tc>
          <w:tcPr>
            <w:tcW w:w="1160" w:type="dxa"/>
            <w:vAlign w:val="bottom"/>
          </w:tcPr>
          <w:p>
            <w:pPr>
              <w:spacing w:after="0"/>
              <w:rPr>
                <w:sz w:val="10"/>
                <w:szCs w:val="10"/>
                <w:color w:val="auto"/>
              </w:rPr>
            </w:pPr>
          </w:p>
        </w:tc>
        <w:tc>
          <w:tcPr>
            <w:tcW w:w="3460" w:type="dxa"/>
            <w:vAlign w:val="bottom"/>
            <w:tcBorders>
              <w:top w:val="single" w:sz="8" w:color="0000FF"/>
            </w:tcBorders>
            <w:gridSpan w:val="18"/>
          </w:tcPr>
          <w:p>
            <w:pPr>
              <w:spacing w:after="0" w:line="115" w:lineRule="exact"/>
              <w:rPr>
                <w:rFonts w:ascii="Arial" w:cs="Arial" w:eastAsia="Arial" w:hAnsi="Arial"/>
                <w:sz w:val="13"/>
                <w:szCs w:val="13"/>
                <w:color w:val="0000FF"/>
              </w:rPr>
            </w:pPr>
            <w:hyperlink w:anchor="page108">
              <w:r>
                <w:rPr>
                  <w:rFonts w:ascii="Arial" w:cs="Arial" w:eastAsia="Arial" w:hAnsi="Arial"/>
                  <w:sz w:val="13"/>
                  <w:szCs w:val="13"/>
                  <w:color w:val="0000FF"/>
                </w:rPr>
                <w:t>Compensation Policy, as amended</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80" w:type="dxa"/>
            <w:vAlign w:val="bottom"/>
            <w:gridSpan w:val="3"/>
          </w:tcPr>
          <w:p>
            <w:pPr>
              <w:spacing w:after="0"/>
              <w:rPr>
                <w:sz w:val="10"/>
                <w:szCs w:val="10"/>
                <w:color w:val="auto"/>
              </w:rPr>
            </w:pPr>
          </w:p>
        </w:tc>
        <w:tc>
          <w:tcPr>
            <w:tcW w:w="180" w:type="dxa"/>
            <w:vAlign w:val="bottom"/>
            <w:gridSpan w:val="6"/>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10.8#</w:t>
            </w:r>
          </w:p>
        </w:tc>
        <w:tc>
          <w:tcPr>
            <w:tcW w:w="4100" w:type="dxa"/>
            <w:vAlign w:val="bottom"/>
            <w:gridSpan w:val="39"/>
          </w:tcPr>
          <w:p>
            <w:pPr>
              <w:spacing w:after="0"/>
              <w:rPr>
                <w:rFonts w:ascii="Arial" w:cs="Arial" w:eastAsia="Arial" w:hAnsi="Arial"/>
                <w:sz w:val="14"/>
                <w:szCs w:val="14"/>
                <w:color w:val="0000FF"/>
              </w:rPr>
            </w:pPr>
            <w:hyperlink r:id="rId134">
              <w:r>
                <w:rPr>
                  <w:rFonts w:ascii="Arial" w:cs="Arial" w:eastAsia="Arial" w:hAnsi="Arial"/>
                  <w:sz w:val="14"/>
                  <w:szCs w:val="14"/>
                  <w:color w:val="0000FF"/>
                </w:rPr>
                <w:t>Zoom Video Communications, Inc. 2019 Equity Incentive Plan</w:t>
              </w:r>
            </w:hyperlink>
          </w:p>
        </w:tc>
        <w:tc>
          <w:tcPr>
            <w:tcW w:w="1200" w:type="dxa"/>
            <w:vAlign w:val="bottom"/>
          </w:tcPr>
          <w:p>
            <w:pPr>
              <w:ind w:left="20"/>
              <w:spacing w:after="0"/>
              <w:rPr>
                <w:sz w:val="20"/>
                <w:szCs w:val="20"/>
                <w:color w:val="auto"/>
              </w:rPr>
            </w:pPr>
            <w:r>
              <w:rPr>
                <w:rFonts w:ascii="Arial" w:cs="Arial" w:eastAsia="Arial" w:hAnsi="Arial"/>
                <w:sz w:val="14"/>
                <w:szCs w:val="14"/>
                <w:color w:val="auto"/>
              </w:rPr>
              <w:t>10-Q</w:t>
            </w:r>
          </w:p>
        </w:tc>
        <w:tc>
          <w:tcPr>
            <w:tcW w:w="1560" w:type="dxa"/>
            <w:vAlign w:val="bottom"/>
          </w:tcPr>
          <w:p>
            <w:pPr>
              <w:ind w:left="340"/>
              <w:spacing w:after="0"/>
              <w:rPr>
                <w:sz w:val="20"/>
                <w:szCs w:val="20"/>
                <w:color w:val="auto"/>
              </w:rPr>
            </w:pPr>
            <w:r>
              <w:rPr>
                <w:rFonts w:ascii="Arial" w:cs="Arial" w:eastAsia="Arial" w:hAnsi="Arial"/>
                <w:sz w:val="14"/>
                <w:szCs w:val="14"/>
                <w:color w:val="auto"/>
              </w:rPr>
              <w:t>001-38865</w:t>
            </w:r>
          </w:p>
        </w:tc>
        <w:tc>
          <w:tcPr>
            <w:tcW w:w="1500" w:type="dxa"/>
            <w:vAlign w:val="bottom"/>
          </w:tcPr>
          <w:p>
            <w:pPr>
              <w:ind w:left="300"/>
              <w:spacing w:after="0"/>
              <w:rPr>
                <w:sz w:val="20"/>
                <w:szCs w:val="20"/>
                <w:color w:val="auto"/>
              </w:rPr>
            </w:pPr>
            <w:r>
              <w:rPr>
                <w:rFonts w:ascii="Arial" w:cs="Arial" w:eastAsia="Arial" w:hAnsi="Arial"/>
                <w:sz w:val="14"/>
                <w:szCs w:val="14"/>
                <w:color w:val="auto"/>
              </w:rPr>
              <w:t>10.2</w:t>
            </w:r>
          </w:p>
        </w:tc>
        <w:tc>
          <w:tcPr>
            <w:tcW w:w="1700" w:type="dxa"/>
            <w:vAlign w:val="bottom"/>
          </w:tcPr>
          <w:p>
            <w:pPr>
              <w:ind w:left="280"/>
              <w:spacing w:after="0"/>
              <w:rPr>
                <w:sz w:val="20"/>
                <w:szCs w:val="20"/>
                <w:color w:val="auto"/>
              </w:rPr>
            </w:pPr>
            <w:r>
              <w:rPr>
                <w:rFonts w:ascii="Arial" w:cs="Arial" w:eastAsia="Arial" w:hAnsi="Arial"/>
                <w:sz w:val="14"/>
                <w:szCs w:val="14"/>
                <w:color w:val="auto"/>
              </w:rPr>
              <w:t>September 13, 2019</w:t>
            </w:r>
          </w:p>
        </w:tc>
      </w:tr>
      <w:tr>
        <w:trPr>
          <w:trHeight w:val="115"/>
        </w:trPr>
        <w:tc>
          <w:tcPr>
            <w:tcW w:w="1160" w:type="dxa"/>
            <w:vAlign w:val="bottom"/>
          </w:tcPr>
          <w:p>
            <w:pPr>
              <w:spacing w:after="0"/>
              <w:rPr>
                <w:sz w:val="10"/>
                <w:szCs w:val="10"/>
                <w:color w:val="auto"/>
              </w:rPr>
            </w:pPr>
          </w:p>
        </w:tc>
        <w:tc>
          <w:tcPr>
            <w:tcW w:w="1860" w:type="dxa"/>
            <w:vAlign w:val="bottom"/>
            <w:tcBorders>
              <w:top w:val="single" w:sz="8" w:color="0000FF"/>
              <w:bottom w:val="single" w:sz="8" w:color="0000FF"/>
            </w:tcBorders>
            <w:gridSpan w:val="7"/>
          </w:tcPr>
          <w:p>
            <w:pPr>
              <w:spacing w:after="0" w:line="115" w:lineRule="exact"/>
              <w:rPr>
                <w:rFonts w:ascii="Arial" w:cs="Arial" w:eastAsia="Arial" w:hAnsi="Arial"/>
                <w:sz w:val="13"/>
                <w:szCs w:val="13"/>
                <w:color w:val="0000FF"/>
              </w:rPr>
            </w:pPr>
            <w:hyperlink r:id="rId134">
              <w:r>
                <w:rPr>
                  <w:rFonts w:ascii="Arial" w:cs="Arial" w:eastAsia="Arial" w:hAnsi="Arial"/>
                  <w:sz w:val="13"/>
                  <w:szCs w:val="13"/>
                  <w:color w:val="0000FF"/>
                </w:rPr>
                <w:t>Global RSU Award Gant Notice</w:t>
              </w:r>
            </w:hyperlink>
          </w:p>
        </w:tc>
        <w:tc>
          <w:tcPr>
            <w:tcW w:w="1780" w:type="dxa"/>
            <w:vAlign w:val="bottom"/>
            <w:tcBorders>
              <w:top w:val="single" w:sz="8" w:color="0000FF"/>
            </w:tcBorders>
            <w:gridSpan w:val="16"/>
          </w:tcPr>
          <w:p>
            <w:pPr>
              <w:spacing w:after="0"/>
              <w:rPr>
                <w:sz w:val="10"/>
                <w:szCs w:val="10"/>
                <w:color w:val="auto"/>
              </w:rPr>
            </w:pPr>
          </w:p>
        </w:tc>
        <w:tc>
          <w:tcPr>
            <w:tcW w:w="80" w:type="dxa"/>
            <w:vAlign w:val="bottom"/>
            <w:gridSpan w:val="3"/>
          </w:tcPr>
          <w:p>
            <w:pPr>
              <w:spacing w:after="0"/>
              <w:rPr>
                <w:sz w:val="10"/>
                <w:szCs w:val="10"/>
                <w:color w:val="auto"/>
              </w:rPr>
            </w:pPr>
          </w:p>
        </w:tc>
        <w:tc>
          <w:tcPr>
            <w:tcW w:w="180" w:type="dxa"/>
            <w:vAlign w:val="bottom"/>
            <w:gridSpan w:val="6"/>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3"/>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10.9#</w:t>
            </w:r>
          </w:p>
        </w:tc>
        <w:tc>
          <w:tcPr>
            <w:tcW w:w="4100" w:type="dxa"/>
            <w:vAlign w:val="bottom"/>
            <w:gridSpan w:val="39"/>
          </w:tcPr>
          <w:p>
            <w:pPr>
              <w:spacing w:after="0"/>
              <w:rPr>
                <w:rFonts w:ascii="Arial" w:cs="Arial" w:eastAsia="Arial" w:hAnsi="Arial"/>
                <w:sz w:val="14"/>
                <w:szCs w:val="14"/>
                <w:color w:val="0000FF"/>
                <w:w w:val="97"/>
              </w:rPr>
            </w:pPr>
            <w:hyperlink r:id="rId135">
              <w:r>
                <w:rPr>
                  <w:rFonts w:ascii="Arial" w:cs="Arial" w:eastAsia="Arial" w:hAnsi="Arial"/>
                  <w:sz w:val="14"/>
                  <w:szCs w:val="14"/>
                  <w:color w:val="0000FF"/>
                  <w:w w:val="97"/>
                </w:rPr>
                <w:t>Zoom Video Communications, Inc. 2019 Equity Incentive Plan Non-</w:t>
              </w:r>
            </w:hyperlink>
          </w:p>
        </w:tc>
        <w:tc>
          <w:tcPr>
            <w:tcW w:w="1200" w:type="dxa"/>
            <w:vAlign w:val="bottom"/>
          </w:tcPr>
          <w:p>
            <w:pPr>
              <w:ind w:left="20"/>
              <w:spacing w:after="0"/>
              <w:rPr>
                <w:sz w:val="20"/>
                <w:szCs w:val="20"/>
                <w:color w:val="auto"/>
              </w:rPr>
            </w:pPr>
            <w:r>
              <w:rPr>
                <w:rFonts w:ascii="Arial" w:cs="Arial" w:eastAsia="Arial" w:hAnsi="Arial"/>
                <w:sz w:val="14"/>
                <w:szCs w:val="14"/>
                <w:color w:val="auto"/>
              </w:rPr>
              <w:t>10-Q</w:t>
            </w:r>
          </w:p>
        </w:tc>
        <w:tc>
          <w:tcPr>
            <w:tcW w:w="1560" w:type="dxa"/>
            <w:vAlign w:val="bottom"/>
          </w:tcPr>
          <w:p>
            <w:pPr>
              <w:ind w:left="340"/>
              <w:spacing w:after="0"/>
              <w:rPr>
                <w:sz w:val="20"/>
                <w:szCs w:val="20"/>
                <w:color w:val="auto"/>
              </w:rPr>
            </w:pPr>
            <w:r>
              <w:rPr>
                <w:rFonts w:ascii="Arial" w:cs="Arial" w:eastAsia="Arial" w:hAnsi="Arial"/>
                <w:sz w:val="14"/>
                <w:szCs w:val="14"/>
                <w:color w:val="auto"/>
              </w:rPr>
              <w:t>001-38865</w:t>
            </w:r>
          </w:p>
        </w:tc>
        <w:tc>
          <w:tcPr>
            <w:tcW w:w="1500" w:type="dxa"/>
            <w:vAlign w:val="bottom"/>
          </w:tcPr>
          <w:p>
            <w:pPr>
              <w:ind w:left="300"/>
              <w:spacing w:after="0"/>
              <w:rPr>
                <w:sz w:val="20"/>
                <w:szCs w:val="20"/>
                <w:color w:val="auto"/>
              </w:rPr>
            </w:pPr>
            <w:r>
              <w:rPr>
                <w:rFonts w:ascii="Arial" w:cs="Arial" w:eastAsia="Arial" w:hAnsi="Arial"/>
                <w:sz w:val="14"/>
                <w:szCs w:val="14"/>
                <w:color w:val="auto"/>
              </w:rPr>
              <w:t>10.3</w:t>
            </w:r>
          </w:p>
        </w:tc>
        <w:tc>
          <w:tcPr>
            <w:tcW w:w="1700" w:type="dxa"/>
            <w:vAlign w:val="bottom"/>
          </w:tcPr>
          <w:p>
            <w:pPr>
              <w:ind w:left="280"/>
              <w:spacing w:after="0"/>
              <w:rPr>
                <w:sz w:val="20"/>
                <w:szCs w:val="20"/>
                <w:color w:val="auto"/>
              </w:rPr>
            </w:pPr>
            <w:r>
              <w:rPr>
                <w:rFonts w:ascii="Arial" w:cs="Arial" w:eastAsia="Arial" w:hAnsi="Arial"/>
                <w:sz w:val="14"/>
                <w:szCs w:val="14"/>
                <w:color w:val="auto"/>
              </w:rPr>
              <w:t>September 13, 2019</w:t>
            </w:r>
          </w:p>
        </w:tc>
      </w:tr>
      <w:tr>
        <w:trPr>
          <w:trHeight w:val="115"/>
        </w:trPr>
        <w:tc>
          <w:tcPr>
            <w:tcW w:w="1160" w:type="dxa"/>
            <w:vAlign w:val="bottom"/>
          </w:tcPr>
          <w:p>
            <w:pPr>
              <w:spacing w:after="0"/>
              <w:rPr>
                <w:sz w:val="10"/>
                <w:szCs w:val="10"/>
                <w:color w:val="auto"/>
              </w:rPr>
            </w:pPr>
          </w:p>
        </w:tc>
        <w:tc>
          <w:tcPr>
            <w:tcW w:w="3040" w:type="dxa"/>
            <w:vAlign w:val="bottom"/>
            <w:tcBorders>
              <w:top w:val="single" w:sz="8" w:color="0000FF"/>
              <w:bottom w:val="single" w:sz="8" w:color="0000FF"/>
            </w:tcBorders>
            <w:gridSpan w:val="15"/>
          </w:tcPr>
          <w:p>
            <w:pPr>
              <w:spacing w:after="0" w:line="115" w:lineRule="exact"/>
              <w:rPr>
                <w:rFonts w:ascii="Arial" w:cs="Arial" w:eastAsia="Arial" w:hAnsi="Arial"/>
                <w:sz w:val="13"/>
                <w:szCs w:val="13"/>
                <w:color w:val="0000FF"/>
              </w:rPr>
            </w:pPr>
            <w:hyperlink r:id="rId135">
              <w:r>
                <w:rPr>
                  <w:rFonts w:ascii="Arial" w:cs="Arial" w:eastAsia="Arial" w:hAnsi="Arial"/>
                  <w:sz w:val="13"/>
                  <w:szCs w:val="13"/>
                  <w:color w:val="0000FF"/>
                </w:rPr>
                <w:t>Employee Director Global RSU Award Grant Notice</w:t>
              </w:r>
            </w:hyperlink>
          </w:p>
        </w:tc>
        <w:tc>
          <w:tcPr>
            <w:tcW w:w="980" w:type="dxa"/>
            <w:vAlign w:val="bottom"/>
            <w:tcBorders>
              <w:top w:val="single" w:sz="8" w:color="0000FF"/>
            </w:tcBorders>
            <w:gridSpan w:val="23"/>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10.10#</w:t>
            </w:r>
          </w:p>
        </w:tc>
        <w:tc>
          <w:tcPr>
            <w:tcW w:w="4100" w:type="dxa"/>
            <w:vAlign w:val="bottom"/>
            <w:gridSpan w:val="39"/>
          </w:tcPr>
          <w:p>
            <w:pPr>
              <w:spacing w:after="0"/>
              <w:rPr>
                <w:rFonts w:ascii="Arial" w:cs="Arial" w:eastAsia="Arial" w:hAnsi="Arial"/>
                <w:sz w:val="14"/>
                <w:szCs w:val="14"/>
                <w:color w:val="0000FF"/>
                <w:w w:val="96"/>
              </w:rPr>
            </w:pPr>
            <w:hyperlink r:id="rId136">
              <w:r>
                <w:rPr>
                  <w:rFonts w:ascii="Arial" w:cs="Arial" w:eastAsia="Arial" w:hAnsi="Arial"/>
                  <w:sz w:val="14"/>
                  <w:szCs w:val="14"/>
                  <w:color w:val="0000FF"/>
                  <w:w w:val="96"/>
                </w:rPr>
                <w:t>Confirmatory Offer Letter by and between the Registrant and Eric S.</w:t>
              </w:r>
            </w:hyperlink>
          </w:p>
        </w:tc>
        <w:tc>
          <w:tcPr>
            <w:tcW w:w="1200" w:type="dxa"/>
            <w:vAlign w:val="bottom"/>
          </w:tcPr>
          <w:p>
            <w:pPr>
              <w:ind w:left="20"/>
              <w:spacing w:after="0"/>
              <w:rPr>
                <w:sz w:val="20"/>
                <w:szCs w:val="20"/>
                <w:color w:val="auto"/>
              </w:rPr>
            </w:pPr>
            <w:r>
              <w:rPr>
                <w:rFonts w:ascii="Arial" w:cs="Arial" w:eastAsia="Arial" w:hAnsi="Arial"/>
                <w:sz w:val="14"/>
                <w:szCs w:val="14"/>
                <w:color w:val="auto"/>
              </w:rPr>
              <w:t>S-1</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1500" w:type="dxa"/>
            <w:vAlign w:val="bottom"/>
          </w:tcPr>
          <w:p>
            <w:pPr>
              <w:ind w:left="300"/>
              <w:spacing w:after="0"/>
              <w:rPr>
                <w:sz w:val="20"/>
                <w:szCs w:val="20"/>
                <w:color w:val="auto"/>
              </w:rPr>
            </w:pPr>
            <w:r>
              <w:rPr>
                <w:rFonts w:ascii="Arial" w:cs="Arial" w:eastAsia="Arial" w:hAnsi="Arial"/>
                <w:sz w:val="14"/>
                <w:szCs w:val="14"/>
                <w:color w:val="auto"/>
              </w:rPr>
              <w:t>10.5</w:t>
            </w:r>
          </w:p>
        </w:tc>
        <w:tc>
          <w:tcPr>
            <w:tcW w:w="1700" w:type="dxa"/>
            <w:vAlign w:val="bottom"/>
          </w:tcPr>
          <w:p>
            <w:pPr>
              <w:ind w:left="280"/>
              <w:spacing w:after="0"/>
              <w:rPr>
                <w:sz w:val="20"/>
                <w:szCs w:val="20"/>
                <w:color w:val="auto"/>
              </w:rPr>
            </w:pPr>
            <w:r>
              <w:rPr>
                <w:rFonts w:ascii="Arial" w:cs="Arial" w:eastAsia="Arial" w:hAnsi="Arial"/>
                <w:sz w:val="14"/>
                <w:szCs w:val="14"/>
                <w:color w:val="auto"/>
              </w:rPr>
              <w:t>March 22, 2019</w:t>
            </w:r>
          </w:p>
        </w:tc>
      </w:tr>
      <w:tr>
        <w:trPr>
          <w:trHeight w:val="115"/>
        </w:trPr>
        <w:tc>
          <w:tcPr>
            <w:tcW w:w="1160" w:type="dxa"/>
            <w:vAlign w:val="bottom"/>
          </w:tcPr>
          <w:p>
            <w:pPr>
              <w:spacing w:after="0"/>
              <w:rPr>
                <w:sz w:val="10"/>
                <w:szCs w:val="10"/>
                <w:color w:val="auto"/>
              </w:rPr>
            </w:pPr>
          </w:p>
        </w:tc>
        <w:tc>
          <w:tcPr>
            <w:tcW w:w="1880" w:type="dxa"/>
            <w:vAlign w:val="bottom"/>
            <w:tcBorders>
              <w:top w:val="single" w:sz="8" w:color="0000FF"/>
              <w:bottom w:val="single" w:sz="8" w:color="0000FF"/>
            </w:tcBorders>
            <w:gridSpan w:val="8"/>
          </w:tcPr>
          <w:p>
            <w:pPr>
              <w:spacing w:after="0" w:line="115" w:lineRule="exact"/>
              <w:rPr>
                <w:rFonts w:ascii="Arial" w:cs="Arial" w:eastAsia="Arial" w:hAnsi="Arial"/>
                <w:sz w:val="13"/>
                <w:szCs w:val="13"/>
                <w:color w:val="0000FF"/>
                <w:w w:val="97"/>
              </w:rPr>
            </w:pPr>
            <w:hyperlink r:id="rId136">
              <w:r>
                <w:rPr>
                  <w:rFonts w:ascii="Arial" w:cs="Arial" w:eastAsia="Arial" w:hAnsi="Arial"/>
                  <w:sz w:val="13"/>
                  <w:szCs w:val="13"/>
                  <w:color w:val="0000FF"/>
                  <w:w w:val="97"/>
                </w:rPr>
                <w:t>Yuan, dated December 18, 2018.</w:t>
              </w:r>
            </w:hyperlink>
          </w:p>
        </w:tc>
        <w:tc>
          <w:tcPr>
            <w:tcW w:w="2100" w:type="dxa"/>
            <w:vAlign w:val="bottom"/>
            <w:tcBorders>
              <w:top w:val="single" w:sz="8" w:color="0000FF"/>
            </w:tcBorders>
            <w:gridSpan w:val="28"/>
          </w:tcPr>
          <w:p>
            <w:pPr>
              <w:spacing w:after="0"/>
              <w:rPr>
                <w:sz w:val="10"/>
                <w:szCs w:val="10"/>
                <w:color w:val="auto"/>
              </w:rPr>
            </w:pPr>
          </w:p>
        </w:tc>
        <w:tc>
          <w:tcPr>
            <w:tcW w:w="120" w:type="dxa"/>
            <w:vAlign w:val="bottom"/>
            <w:gridSpan w:val="3"/>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10.11#</w:t>
            </w:r>
          </w:p>
        </w:tc>
        <w:tc>
          <w:tcPr>
            <w:tcW w:w="4100" w:type="dxa"/>
            <w:vAlign w:val="bottom"/>
            <w:gridSpan w:val="39"/>
          </w:tcPr>
          <w:p>
            <w:pPr>
              <w:spacing w:after="0"/>
              <w:rPr>
                <w:rFonts w:ascii="Arial" w:cs="Arial" w:eastAsia="Arial" w:hAnsi="Arial"/>
                <w:sz w:val="14"/>
                <w:szCs w:val="14"/>
                <w:color w:val="0000FF"/>
              </w:rPr>
            </w:pPr>
            <w:hyperlink r:id="rId137">
              <w:r>
                <w:rPr>
                  <w:rFonts w:ascii="Arial" w:cs="Arial" w:eastAsia="Arial" w:hAnsi="Arial"/>
                  <w:sz w:val="14"/>
                  <w:szCs w:val="14"/>
                  <w:color w:val="0000FF"/>
                </w:rPr>
                <w:t>Confirmatory Offer Letter by and between the Registrant and</w:t>
              </w:r>
            </w:hyperlink>
          </w:p>
        </w:tc>
        <w:tc>
          <w:tcPr>
            <w:tcW w:w="1200" w:type="dxa"/>
            <w:vAlign w:val="bottom"/>
          </w:tcPr>
          <w:p>
            <w:pPr>
              <w:ind w:left="20"/>
              <w:spacing w:after="0"/>
              <w:rPr>
                <w:sz w:val="20"/>
                <w:szCs w:val="20"/>
                <w:color w:val="auto"/>
              </w:rPr>
            </w:pPr>
            <w:r>
              <w:rPr>
                <w:rFonts w:ascii="Arial" w:cs="Arial" w:eastAsia="Arial" w:hAnsi="Arial"/>
                <w:sz w:val="14"/>
                <w:szCs w:val="14"/>
                <w:color w:val="auto"/>
              </w:rPr>
              <w:t>S-1</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1500" w:type="dxa"/>
            <w:vAlign w:val="bottom"/>
          </w:tcPr>
          <w:p>
            <w:pPr>
              <w:ind w:left="300"/>
              <w:spacing w:after="0"/>
              <w:rPr>
                <w:sz w:val="20"/>
                <w:szCs w:val="20"/>
                <w:color w:val="auto"/>
              </w:rPr>
            </w:pPr>
            <w:r>
              <w:rPr>
                <w:rFonts w:ascii="Arial" w:cs="Arial" w:eastAsia="Arial" w:hAnsi="Arial"/>
                <w:sz w:val="14"/>
                <w:szCs w:val="14"/>
                <w:color w:val="auto"/>
              </w:rPr>
              <w:t>10.6</w:t>
            </w:r>
          </w:p>
        </w:tc>
        <w:tc>
          <w:tcPr>
            <w:tcW w:w="1700" w:type="dxa"/>
            <w:vAlign w:val="bottom"/>
          </w:tcPr>
          <w:p>
            <w:pPr>
              <w:ind w:left="280"/>
              <w:spacing w:after="0"/>
              <w:rPr>
                <w:sz w:val="20"/>
                <w:szCs w:val="20"/>
                <w:color w:val="auto"/>
              </w:rPr>
            </w:pPr>
            <w:r>
              <w:rPr>
                <w:rFonts w:ascii="Arial" w:cs="Arial" w:eastAsia="Arial" w:hAnsi="Arial"/>
                <w:sz w:val="14"/>
                <w:szCs w:val="14"/>
                <w:color w:val="auto"/>
              </w:rPr>
              <w:t>March 22, 2019</w:t>
            </w:r>
          </w:p>
        </w:tc>
      </w:tr>
      <w:tr>
        <w:trPr>
          <w:trHeight w:val="115"/>
        </w:trPr>
        <w:tc>
          <w:tcPr>
            <w:tcW w:w="1160" w:type="dxa"/>
            <w:vAlign w:val="bottom"/>
          </w:tcPr>
          <w:p>
            <w:pPr>
              <w:spacing w:after="0"/>
              <w:rPr>
                <w:sz w:val="10"/>
                <w:szCs w:val="10"/>
                <w:color w:val="auto"/>
              </w:rPr>
            </w:pPr>
          </w:p>
        </w:tc>
        <w:tc>
          <w:tcPr>
            <w:tcW w:w="3520" w:type="dxa"/>
            <w:vAlign w:val="bottom"/>
            <w:tcBorders>
              <w:top w:val="single" w:sz="8" w:color="0000FF"/>
            </w:tcBorders>
            <w:gridSpan w:val="21"/>
          </w:tcPr>
          <w:p>
            <w:pPr>
              <w:spacing w:after="0" w:line="115" w:lineRule="exact"/>
              <w:rPr>
                <w:rFonts w:ascii="Arial" w:cs="Arial" w:eastAsia="Arial" w:hAnsi="Arial"/>
                <w:sz w:val="13"/>
                <w:szCs w:val="13"/>
                <w:color w:val="0000FF"/>
              </w:rPr>
            </w:pPr>
            <w:hyperlink r:id="rId137">
              <w:r>
                <w:rPr>
                  <w:rFonts w:ascii="Arial" w:cs="Arial" w:eastAsia="Arial" w:hAnsi="Arial"/>
                  <w:sz w:val="13"/>
                  <w:szCs w:val="13"/>
                  <w:color w:val="0000FF"/>
                </w:rPr>
                <w:t>Aparna Bawa, dated December 18, 2018.</w:t>
              </w:r>
            </w:hyperlink>
          </w:p>
        </w:tc>
        <w:tc>
          <w:tcPr>
            <w:tcW w:w="200" w:type="dxa"/>
            <w:vAlign w:val="bottom"/>
            <w:gridSpan w:val="5"/>
          </w:tcPr>
          <w:p>
            <w:pPr>
              <w:spacing w:after="0"/>
              <w:rPr>
                <w:sz w:val="10"/>
                <w:szCs w:val="10"/>
                <w:color w:val="auto"/>
              </w:rPr>
            </w:pPr>
          </w:p>
        </w:tc>
        <w:tc>
          <w:tcPr>
            <w:tcW w:w="180" w:type="dxa"/>
            <w:vAlign w:val="bottom"/>
            <w:gridSpan w:val="6"/>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4"/>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12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10.12#</w:t>
            </w:r>
          </w:p>
        </w:tc>
        <w:tc>
          <w:tcPr>
            <w:tcW w:w="4100" w:type="dxa"/>
            <w:vAlign w:val="bottom"/>
            <w:gridSpan w:val="39"/>
          </w:tcPr>
          <w:p>
            <w:pPr>
              <w:spacing w:after="0"/>
              <w:rPr>
                <w:rFonts w:ascii="Arial" w:cs="Arial" w:eastAsia="Arial" w:hAnsi="Arial"/>
                <w:sz w:val="14"/>
                <w:szCs w:val="14"/>
                <w:color w:val="0000FF"/>
                <w:w w:val="96"/>
              </w:rPr>
            </w:pPr>
            <w:hyperlink r:id="rId138">
              <w:r>
                <w:rPr>
                  <w:rFonts w:ascii="Arial" w:cs="Arial" w:eastAsia="Arial" w:hAnsi="Arial"/>
                  <w:sz w:val="14"/>
                  <w:szCs w:val="14"/>
                  <w:color w:val="0000FF"/>
                  <w:w w:val="96"/>
                </w:rPr>
                <w:t>Confirmatory Offer Letter by and between the Registrant and Janine</w:t>
              </w:r>
            </w:hyperlink>
          </w:p>
        </w:tc>
        <w:tc>
          <w:tcPr>
            <w:tcW w:w="1200" w:type="dxa"/>
            <w:vAlign w:val="bottom"/>
          </w:tcPr>
          <w:p>
            <w:pPr>
              <w:ind w:left="20"/>
              <w:spacing w:after="0"/>
              <w:rPr>
                <w:sz w:val="20"/>
                <w:szCs w:val="20"/>
                <w:color w:val="auto"/>
              </w:rPr>
            </w:pPr>
            <w:r>
              <w:rPr>
                <w:rFonts w:ascii="Arial" w:cs="Arial" w:eastAsia="Arial" w:hAnsi="Arial"/>
                <w:sz w:val="14"/>
                <w:szCs w:val="14"/>
                <w:color w:val="auto"/>
              </w:rPr>
              <w:t>S-1</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1500" w:type="dxa"/>
            <w:vAlign w:val="bottom"/>
          </w:tcPr>
          <w:p>
            <w:pPr>
              <w:ind w:left="300"/>
              <w:spacing w:after="0"/>
              <w:rPr>
                <w:sz w:val="20"/>
                <w:szCs w:val="20"/>
                <w:color w:val="auto"/>
              </w:rPr>
            </w:pPr>
            <w:r>
              <w:rPr>
                <w:rFonts w:ascii="Arial" w:cs="Arial" w:eastAsia="Arial" w:hAnsi="Arial"/>
                <w:sz w:val="14"/>
                <w:szCs w:val="14"/>
                <w:color w:val="auto"/>
              </w:rPr>
              <w:t>10.7</w:t>
            </w:r>
          </w:p>
        </w:tc>
        <w:tc>
          <w:tcPr>
            <w:tcW w:w="1700" w:type="dxa"/>
            <w:vAlign w:val="bottom"/>
          </w:tcPr>
          <w:p>
            <w:pPr>
              <w:ind w:left="280"/>
              <w:spacing w:after="0"/>
              <w:rPr>
                <w:sz w:val="20"/>
                <w:szCs w:val="20"/>
                <w:color w:val="auto"/>
              </w:rPr>
            </w:pPr>
            <w:r>
              <w:rPr>
                <w:rFonts w:ascii="Arial" w:cs="Arial" w:eastAsia="Arial" w:hAnsi="Arial"/>
                <w:sz w:val="14"/>
                <w:szCs w:val="14"/>
                <w:color w:val="auto"/>
              </w:rPr>
              <w:t>March 22, 2019</w:t>
            </w:r>
          </w:p>
        </w:tc>
      </w:tr>
      <w:tr>
        <w:trPr>
          <w:trHeight w:val="115"/>
        </w:trPr>
        <w:tc>
          <w:tcPr>
            <w:tcW w:w="1160" w:type="dxa"/>
            <w:vAlign w:val="bottom"/>
          </w:tcPr>
          <w:p>
            <w:pPr>
              <w:spacing w:after="0"/>
              <w:rPr>
                <w:sz w:val="10"/>
                <w:szCs w:val="10"/>
                <w:color w:val="auto"/>
              </w:rPr>
            </w:pPr>
          </w:p>
        </w:tc>
        <w:tc>
          <w:tcPr>
            <w:tcW w:w="1960" w:type="dxa"/>
            <w:vAlign w:val="bottom"/>
            <w:tcBorders>
              <w:top w:val="single" w:sz="8" w:color="0000FF"/>
              <w:bottom w:val="single" w:sz="8" w:color="0000FF"/>
            </w:tcBorders>
            <w:gridSpan w:val="9"/>
          </w:tcPr>
          <w:p>
            <w:pPr>
              <w:spacing w:after="0" w:line="115" w:lineRule="exact"/>
              <w:rPr>
                <w:rFonts w:ascii="Arial" w:cs="Arial" w:eastAsia="Arial" w:hAnsi="Arial"/>
                <w:sz w:val="13"/>
                <w:szCs w:val="13"/>
                <w:color w:val="0000FF"/>
                <w:w w:val="97"/>
              </w:rPr>
            </w:pPr>
            <w:hyperlink r:id="rId138">
              <w:r>
                <w:rPr>
                  <w:rFonts w:ascii="Arial" w:cs="Arial" w:eastAsia="Arial" w:hAnsi="Arial"/>
                  <w:sz w:val="13"/>
                  <w:szCs w:val="13"/>
                  <w:color w:val="0000FF"/>
                  <w:w w:val="97"/>
                </w:rPr>
                <w:t>Pelosi, dated December 18, 2018.</w:t>
              </w:r>
            </w:hyperlink>
          </w:p>
        </w:tc>
        <w:tc>
          <w:tcPr>
            <w:tcW w:w="1980" w:type="dxa"/>
            <w:vAlign w:val="bottom"/>
            <w:tcBorders>
              <w:top w:val="single" w:sz="8" w:color="0000FF"/>
            </w:tcBorders>
            <w:gridSpan w:val="25"/>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4"/>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10.13#</w:t>
            </w:r>
          </w:p>
        </w:tc>
        <w:tc>
          <w:tcPr>
            <w:tcW w:w="4100" w:type="dxa"/>
            <w:vAlign w:val="bottom"/>
            <w:gridSpan w:val="39"/>
          </w:tcPr>
          <w:p>
            <w:pPr>
              <w:spacing w:after="0"/>
              <w:rPr>
                <w:rFonts w:ascii="Arial" w:cs="Arial" w:eastAsia="Arial" w:hAnsi="Arial"/>
                <w:sz w:val="14"/>
                <w:szCs w:val="14"/>
                <w:color w:val="0000FF"/>
                <w:w w:val="99"/>
              </w:rPr>
            </w:pPr>
            <w:hyperlink r:id="rId139">
              <w:r>
                <w:rPr>
                  <w:rFonts w:ascii="Arial" w:cs="Arial" w:eastAsia="Arial" w:hAnsi="Arial"/>
                  <w:sz w:val="14"/>
                  <w:szCs w:val="14"/>
                  <w:color w:val="0000FF"/>
                  <w:w w:val="99"/>
                </w:rPr>
                <w:t>Confirmatory Offer Letter by and between the Registrant and Kelly</w:t>
              </w:r>
            </w:hyperlink>
          </w:p>
        </w:tc>
        <w:tc>
          <w:tcPr>
            <w:tcW w:w="1200" w:type="dxa"/>
            <w:vAlign w:val="bottom"/>
          </w:tcPr>
          <w:p>
            <w:pPr>
              <w:ind w:left="20"/>
              <w:spacing w:after="0"/>
              <w:rPr>
                <w:sz w:val="20"/>
                <w:szCs w:val="20"/>
                <w:color w:val="auto"/>
              </w:rPr>
            </w:pPr>
            <w:r>
              <w:rPr>
                <w:rFonts w:ascii="Arial" w:cs="Arial" w:eastAsia="Arial" w:hAnsi="Arial"/>
                <w:sz w:val="14"/>
                <w:szCs w:val="14"/>
                <w:color w:val="auto"/>
              </w:rPr>
              <w:t>S-1</w:t>
            </w:r>
          </w:p>
        </w:tc>
        <w:tc>
          <w:tcPr>
            <w:tcW w:w="1560" w:type="dxa"/>
            <w:vAlign w:val="bottom"/>
          </w:tcPr>
          <w:p>
            <w:pPr>
              <w:ind w:left="340"/>
              <w:spacing w:after="0"/>
              <w:rPr>
                <w:sz w:val="20"/>
                <w:szCs w:val="20"/>
                <w:color w:val="auto"/>
              </w:rPr>
            </w:pPr>
            <w:r>
              <w:rPr>
                <w:rFonts w:ascii="Arial" w:cs="Arial" w:eastAsia="Arial" w:hAnsi="Arial"/>
                <w:sz w:val="14"/>
                <w:szCs w:val="14"/>
                <w:color w:val="auto"/>
              </w:rPr>
              <w:t>333-230444</w:t>
            </w:r>
          </w:p>
        </w:tc>
        <w:tc>
          <w:tcPr>
            <w:tcW w:w="1500" w:type="dxa"/>
            <w:vAlign w:val="bottom"/>
          </w:tcPr>
          <w:p>
            <w:pPr>
              <w:ind w:left="300"/>
              <w:spacing w:after="0"/>
              <w:rPr>
                <w:sz w:val="20"/>
                <w:szCs w:val="20"/>
                <w:color w:val="auto"/>
              </w:rPr>
            </w:pPr>
            <w:r>
              <w:rPr>
                <w:rFonts w:ascii="Arial" w:cs="Arial" w:eastAsia="Arial" w:hAnsi="Arial"/>
                <w:sz w:val="14"/>
                <w:szCs w:val="14"/>
                <w:color w:val="auto"/>
              </w:rPr>
              <w:t>10.8</w:t>
            </w:r>
          </w:p>
        </w:tc>
        <w:tc>
          <w:tcPr>
            <w:tcW w:w="1700" w:type="dxa"/>
            <w:vAlign w:val="bottom"/>
          </w:tcPr>
          <w:p>
            <w:pPr>
              <w:ind w:left="280"/>
              <w:spacing w:after="0"/>
              <w:rPr>
                <w:sz w:val="20"/>
                <w:szCs w:val="20"/>
                <w:color w:val="auto"/>
              </w:rPr>
            </w:pPr>
            <w:r>
              <w:rPr>
                <w:rFonts w:ascii="Arial" w:cs="Arial" w:eastAsia="Arial" w:hAnsi="Arial"/>
                <w:sz w:val="14"/>
                <w:szCs w:val="14"/>
                <w:color w:val="auto"/>
              </w:rPr>
              <w:t>March 22, 2019</w:t>
            </w:r>
          </w:p>
        </w:tc>
      </w:tr>
      <w:tr>
        <w:trPr>
          <w:trHeight w:val="115"/>
        </w:trPr>
        <w:tc>
          <w:tcPr>
            <w:tcW w:w="1160" w:type="dxa"/>
            <w:vAlign w:val="bottom"/>
          </w:tcPr>
          <w:p>
            <w:pPr>
              <w:spacing w:after="0"/>
              <w:rPr>
                <w:sz w:val="10"/>
                <w:szCs w:val="10"/>
                <w:color w:val="auto"/>
              </w:rPr>
            </w:pPr>
          </w:p>
        </w:tc>
        <w:tc>
          <w:tcPr>
            <w:tcW w:w="2260" w:type="dxa"/>
            <w:vAlign w:val="bottom"/>
            <w:tcBorders>
              <w:top w:val="single" w:sz="8" w:color="0000FF"/>
              <w:bottom w:val="single" w:sz="8" w:color="0000FF"/>
            </w:tcBorders>
            <w:gridSpan w:val="11"/>
          </w:tcPr>
          <w:p>
            <w:pPr>
              <w:spacing w:after="0" w:line="115" w:lineRule="exact"/>
              <w:rPr>
                <w:rFonts w:ascii="Arial" w:cs="Arial" w:eastAsia="Arial" w:hAnsi="Arial"/>
                <w:sz w:val="13"/>
                <w:szCs w:val="13"/>
                <w:color w:val="0000FF"/>
                <w:w w:val="97"/>
              </w:rPr>
            </w:pPr>
            <w:hyperlink r:id="rId139">
              <w:r>
                <w:rPr>
                  <w:rFonts w:ascii="Arial" w:cs="Arial" w:eastAsia="Arial" w:hAnsi="Arial"/>
                  <w:sz w:val="13"/>
                  <w:szCs w:val="13"/>
                  <w:color w:val="0000FF"/>
                  <w:w w:val="97"/>
                </w:rPr>
                <w:t>Steckelberg, dated December 18, 2018.</w:t>
              </w:r>
            </w:hyperlink>
          </w:p>
        </w:tc>
        <w:tc>
          <w:tcPr>
            <w:tcW w:w="1640" w:type="dxa"/>
            <w:vAlign w:val="bottom"/>
            <w:tcBorders>
              <w:top w:val="single" w:sz="8" w:color="0000FF"/>
            </w:tcBorders>
            <w:gridSpan w:val="21"/>
          </w:tcPr>
          <w:p>
            <w:pPr>
              <w:spacing w:after="0"/>
              <w:rPr>
                <w:sz w:val="10"/>
                <w:szCs w:val="10"/>
                <w:color w:val="auto"/>
              </w:rPr>
            </w:pPr>
          </w:p>
        </w:tc>
        <w:tc>
          <w:tcPr>
            <w:tcW w:w="60" w:type="dxa"/>
            <w:vAlign w:val="bottom"/>
            <w:gridSpan w:val="3"/>
          </w:tcPr>
          <w:p>
            <w:pPr>
              <w:spacing w:after="0"/>
              <w:rPr>
                <w:sz w:val="10"/>
                <w:szCs w:val="10"/>
                <w:color w:val="auto"/>
              </w:rPr>
            </w:pPr>
          </w:p>
        </w:tc>
        <w:tc>
          <w:tcPr>
            <w:tcW w:w="140" w:type="dxa"/>
            <w:vAlign w:val="bottom"/>
            <w:gridSpan w:val="4"/>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10.14#</w:t>
            </w:r>
          </w:p>
        </w:tc>
        <w:tc>
          <w:tcPr>
            <w:tcW w:w="4100" w:type="dxa"/>
            <w:vAlign w:val="bottom"/>
            <w:gridSpan w:val="39"/>
          </w:tcPr>
          <w:p>
            <w:pPr>
              <w:spacing w:after="0"/>
              <w:rPr>
                <w:rFonts w:ascii="Arial" w:cs="Arial" w:eastAsia="Arial" w:hAnsi="Arial"/>
                <w:sz w:val="14"/>
                <w:szCs w:val="14"/>
                <w:color w:val="0000FF"/>
              </w:rPr>
            </w:pPr>
            <w:hyperlink r:id="rId140">
              <w:r>
                <w:rPr>
                  <w:rFonts w:ascii="Arial" w:cs="Arial" w:eastAsia="Arial" w:hAnsi="Arial"/>
                  <w:sz w:val="14"/>
                  <w:szCs w:val="14"/>
                  <w:color w:val="0000FF"/>
                </w:rPr>
                <w:t>Offer Letter by and between the Registrant and Ryan Azus dated</w:t>
              </w:r>
            </w:hyperlink>
          </w:p>
        </w:tc>
        <w:tc>
          <w:tcPr>
            <w:tcW w:w="1200" w:type="dxa"/>
            <w:vAlign w:val="bottom"/>
          </w:tcPr>
          <w:p>
            <w:pPr>
              <w:ind w:left="20"/>
              <w:spacing w:after="0"/>
              <w:rPr>
                <w:sz w:val="20"/>
                <w:szCs w:val="20"/>
                <w:color w:val="auto"/>
              </w:rPr>
            </w:pPr>
            <w:r>
              <w:rPr>
                <w:rFonts w:ascii="Arial" w:cs="Arial" w:eastAsia="Arial" w:hAnsi="Arial"/>
                <w:sz w:val="14"/>
                <w:szCs w:val="14"/>
                <w:color w:val="auto"/>
              </w:rPr>
              <w:t>10-Q</w:t>
            </w:r>
          </w:p>
        </w:tc>
        <w:tc>
          <w:tcPr>
            <w:tcW w:w="1560" w:type="dxa"/>
            <w:vAlign w:val="bottom"/>
          </w:tcPr>
          <w:p>
            <w:pPr>
              <w:ind w:left="340"/>
              <w:spacing w:after="0"/>
              <w:rPr>
                <w:sz w:val="20"/>
                <w:szCs w:val="20"/>
                <w:color w:val="auto"/>
              </w:rPr>
            </w:pPr>
            <w:r>
              <w:rPr>
                <w:rFonts w:ascii="Arial" w:cs="Arial" w:eastAsia="Arial" w:hAnsi="Arial"/>
                <w:sz w:val="14"/>
                <w:szCs w:val="14"/>
                <w:color w:val="auto"/>
              </w:rPr>
              <w:t>001-38865</w:t>
            </w:r>
          </w:p>
        </w:tc>
        <w:tc>
          <w:tcPr>
            <w:tcW w:w="1500" w:type="dxa"/>
            <w:vAlign w:val="bottom"/>
          </w:tcPr>
          <w:p>
            <w:pPr>
              <w:ind w:left="300"/>
              <w:spacing w:after="0"/>
              <w:rPr>
                <w:sz w:val="20"/>
                <w:szCs w:val="20"/>
                <w:color w:val="auto"/>
              </w:rPr>
            </w:pPr>
            <w:r>
              <w:rPr>
                <w:rFonts w:ascii="Arial" w:cs="Arial" w:eastAsia="Arial" w:hAnsi="Arial"/>
                <w:sz w:val="14"/>
                <w:szCs w:val="14"/>
                <w:color w:val="auto"/>
              </w:rPr>
              <w:t>10.4</w:t>
            </w:r>
          </w:p>
        </w:tc>
        <w:tc>
          <w:tcPr>
            <w:tcW w:w="1700" w:type="dxa"/>
            <w:vAlign w:val="bottom"/>
          </w:tcPr>
          <w:p>
            <w:pPr>
              <w:ind w:left="280"/>
              <w:spacing w:after="0"/>
              <w:rPr>
                <w:sz w:val="20"/>
                <w:szCs w:val="20"/>
                <w:color w:val="auto"/>
              </w:rPr>
            </w:pPr>
            <w:r>
              <w:rPr>
                <w:rFonts w:ascii="Arial" w:cs="Arial" w:eastAsia="Arial" w:hAnsi="Arial"/>
                <w:sz w:val="14"/>
                <w:szCs w:val="14"/>
                <w:color w:val="auto"/>
              </w:rPr>
              <w:t>September 13, 2019</w:t>
            </w:r>
          </w:p>
        </w:tc>
      </w:tr>
      <w:tr>
        <w:trPr>
          <w:trHeight w:val="115"/>
        </w:trPr>
        <w:tc>
          <w:tcPr>
            <w:tcW w:w="1160" w:type="dxa"/>
            <w:vAlign w:val="bottom"/>
          </w:tcPr>
          <w:p>
            <w:pPr>
              <w:spacing w:after="0"/>
              <w:rPr>
                <w:sz w:val="10"/>
                <w:szCs w:val="10"/>
                <w:color w:val="auto"/>
              </w:rPr>
            </w:pPr>
          </w:p>
        </w:tc>
        <w:tc>
          <w:tcPr>
            <w:tcW w:w="84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w w:val="95"/>
              </w:rPr>
            </w:pPr>
            <w:hyperlink r:id="rId140">
              <w:r>
                <w:rPr>
                  <w:rFonts w:ascii="Arial" w:cs="Arial" w:eastAsia="Arial" w:hAnsi="Arial"/>
                  <w:sz w:val="13"/>
                  <w:szCs w:val="13"/>
                  <w:color w:val="0000FF"/>
                  <w:w w:val="95"/>
                </w:rPr>
                <w:t>June 29, 2019.</w:t>
              </w:r>
            </w:hyperlink>
          </w:p>
        </w:tc>
        <w:tc>
          <w:tcPr>
            <w:tcW w:w="2880" w:type="dxa"/>
            <w:vAlign w:val="bottom"/>
            <w:tcBorders>
              <w:top w:val="single" w:sz="8" w:color="0000FF"/>
            </w:tcBorders>
            <w:gridSpan w:val="23"/>
          </w:tcPr>
          <w:p>
            <w:pPr>
              <w:spacing w:after="0"/>
              <w:rPr>
                <w:sz w:val="10"/>
                <w:szCs w:val="10"/>
                <w:color w:val="auto"/>
              </w:rPr>
            </w:pPr>
          </w:p>
        </w:tc>
        <w:tc>
          <w:tcPr>
            <w:tcW w:w="240" w:type="dxa"/>
            <w:vAlign w:val="bottom"/>
            <w:gridSpan w:val="9"/>
          </w:tcPr>
          <w:p>
            <w:pPr>
              <w:spacing w:after="0"/>
              <w:rPr>
                <w:sz w:val="10"/>
                <w:szCs w:val="10"/>
                <w:color w:val="auto"/>
              </w:rPr>
            </w:pPr>
          </w:p>
        </w:tc>
        <w:tc>
          <w:tcPr>
            <w:tcW w:w="140" w:type="dxa"/>
            <w:vAlign w:val="bottom"/>
            <w:gridSpan w:val="4"/>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10.15#</w:t>
            </w:r>
          </w:p>
        </w:tc>
        <w:tc>
          <w:tcPr>
            <w:tcW w:w="4100" w:type="dxa"/>
            <w:vAlign w:val="bottom"/>
            <w:gridSpan w:val="39"/>
          </w:tcPr>
          <w:p>
            <w:pPr>
              <w:spacing w:after="0"/>
              <w:rPr>
                <w:rFonts w:ascii="Arial" w:cs="Arial" w:eastAsia="Arial" w:hAnsi="Arial"/>
                <w:sz w:val="14"/>
                <w:szCs w:val="14"/>
                <w:color w:val="0000FF"/>
              </w:rPr>
            </w:pPr>
            <w:hyperlink r:id="rId141">
              <w:r>
                <w:rPr>
                  <w:rFonts w:ascii="Arial" w:cs="Arial" w:eastAsia="Arial" w:hAnsi="Arial"/>
                  <w:sz w:val="14"/>
                  <w:szCs w:val="14"/>
                  <w:color w:val="0000FF"/>
                </w:rPr>
                <w:t>Offer Letter by and between the Registrant and Velchamy</w:t>
              </w:r>
            </w:hyperlink>
          </w:p>
        </w:tc>
        <w:tc>
          <w:tcPr>
            <w:tcW w:w="1200" w:type="dxa"/>
            <w:vAlign w:val="bottom"/>
          </w:tcPr>
          <w:p>
            <w:pPr>
              <w:ind w:left="20"/>
              <w:spacing w:after="0"/>
              <w:rPr>
                <w:sz w:val="20"/>
                <w:szCs w:val="20"/>
                <w:color w:val="auto"/>
              </w:rPr>
            </w:pPr>
            <w:r>
              <w:rPr>
                <w:rFonts w:ascii="Arial" w:cs="Arial" w:eastAsia="Arial" w:hAnsi="Arial"/>
                <w:sz w:val="14"/>
                <w:szCs w:val="14"/>
                <w:color w:val="auto"/>
              </w:rPr>
              <w:t>10-Q</w:t>
            </w:r>
          </w:p>
        </w:tc>
        <w:tc>
          <w:tcPr>
            <w:tcW w:w="1560" w:type="dxa"/>
            <w:vAlign w:val="bottom"/>
          </w:tcPr>
          <w:p>
            <w:pPr>
              <w:ind w:left="340"/>
              <w:spacing w:after="0"/>
              <w:rPr>
                <w:sz w:val="20"/>
                <w:szCs w:val="20"/>
                <w:color w:val="auto"/>
              </w:rPr>
            </w:pPr>
            <w:r>
              <w:rPr>
                <w:rFonts w:ascii="Arial" w:cs="Arial" w:eastAsia="Arial" w:hAnsi="Arial"/>
                <w:sz w:val="14"/>
                <w:szCs w:val="14"/>
                <w:color w:val="auto"/>
              </w:rPr>
              <w:t>001-38865</w:t>
            </w:r>
          </w:p>
        </w:tc>
        <w:tc>
          <w:tcPr>
            <w:tcW w:w="1500" w:type="dxa"/>
            <w:vAlign w:val="bottom"/>
          </w:tcPr>
          <w:p>
            <w:pPr>
              <w:ind w:left="300"/>
              <w:spacing w:after="0"/>
              <w:rPr>
                <w:sz w:val="20"/>
                <w:szCs w:val="20"/>
                <w:color w:val="auto"/>
              </w:rPr>
            </w:pPr>
            <w:r>
              <w:rPr>
                <w:rFonts w:ascii="Arial" w:cs="Arial" w:eastAsia="Arial" w:hAnsi="Arial"/>
                <w:sz w:val="14"/>
                <w:szCs w:val="14"/>
                <w:color w:val="auto"/>
              </w:rPr>
              <w:t>10.1</w:t>
            </w:r>
          </w:p>
        </w:tc>
        <w:tc>
          <w:tcPr>
            <w:tcW w:w="1700" w:type="dxa"/>
            <w:vAlign w:val="bottom"/>
          </w:tcPr>
          <w:p>
            <w:pPr>
              <w:ind w:left="280"/>
              <w:spacing w:after="0"/>
              <w:rPr>
                <w:sz w:val="20"/>
                <w:szCs w:val="20"/>
                <w:color w:val="auto"/>
              </w:rPr>
            </w:pPr>
            <w:r>
              <w:rPr>
                <w:rFonts w:ascii="Arial" w:cs="Arial" w:eastAsia="Arial" w:hAnsi="Arial"/>
                <w:sz w:val="14"/>
                <w:szCs w:val="14"/>
                <w:color w:val="auto"/>
              </w:rPr>
              <w:t>September 3, 2020</w:t>
            </w:r>
          </w:p>
        </w:tc>
      </w:tr>
      <w:tr>
        <w:trPr>
          <w:trHeight w:val="115"/>
        </w:trPr>
        <w:tc>
          <w:tcPr>
            <w:tcW w:w="1160" w:type="dxa"/>
            <w:vAlign w:val="bottom"/>
          </w:tcPr>
          <w:p>
            <w:pPr>
              <w:spacing w:after="0"/>
              <w:rPr>
                <w:sz w:val="10"/>
                <w:szCs w:val="10"/>
                <w:color w:val="auto"/>
              </w:rPr>
            </w:pPr>
          </w:p>
        </w:tc>
        <w:tc>
          <w:tcPr>
            <w:tcW w:w="1980" w:type="dxa"/>
            <w:vAlign w:val="bottom"/>
            <w:tcBorders>
              <w:top w:val="single" w:sz="8" w:color="0000FF"/>
              <w:bottom w:val="single" w:sz="8" w:color="0000FF"/>
            </w:tcBorders>
            <w:gridSpan w:val="10"/>
          </w:tcPr>
          <w:p>
            <w:pPr>
              <w:spacing w:after="0" w:line="115" w:lineRule="exact"/>
              <w:rPr>
                <w:rFonts w:ascii="Arial" w:cs="Arial" w:eastAsia="Arial" w:hAnsi="Arial"/>
                <w:sz w:val="13"/>
                <w:szCs w:val="13"/>
                <w:color w:val="0000FF"/>
                <w:w w:val="98"/>
              </w:rPr>
            </w:pPr>
            <w:hyperlink r:id="rId141">
              <w:r>
                <w:rPr>
                  <w:rFonts w:ascii="Arial" w:cs="Arial" w:eastAsia="Arial" w:hAnsi="Arial"/>
                  <w:sz w:val="13"/>
                  <w:szCs w:val="13"/>
                  <w:color w:val="0000FF"/>
                  <w:w w:val="98"/>
                </w:rPr>
                <w:t>Sankarlingam dated May 19, 2020</w:t>
              </w:r>
            </w:hyperlink>
          </w:p>
        </w:tc>
        <w:tc>
          <w:tcPr>
            <w:tcW w:w="1340" w:type="dxa"/>
            <w:vAlign w:val="bottom"/>
            <w:tcBorders>
              <w:top w:val="single" w:sz="8" w:color="0000FF"/>
            </w:tcBorders>
            <w:gridSpan w:val="6"/>
          </w:tcPr>
          <w:p>
            <w:pPr>
              <w:spacing w:after="0"/>
              <w:rPr>
                <w:sz w:val="10"/>
                <w:szCs w:val="10"/>
                <w:color w:val="auto"/>
              </w:rPr>
            </w:pPr>
          </w:p>
        </w:tc>
        <w:tc>
          <w:tcPr>
            <w:tcW w:w="1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gridSpan w:val="15"/>
          </w:tcPr>
          <w:p>
            <w:pPr>
              <w:spacing w:after="0"/>
              <w:rPr>
                <w:sz w:val="10"/>
                <w:szCs w:val="10"/>
                <w:color w:val="auto"/>
              </w:rPr>
            </w:pPr>
          </w:p>
        </w:tc>
        <w:tc>
          <w:tcPr>
            <w:tcW w:w="140" w:type="dxa"/>
            <w:vAlign w:val="bottom"/>
            <w:gridSpan w:val="4"/>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10.16#</w:t>
            </w:r>
          </w:p>
        </w:tc>
        <w:tc>
          <w:tcPr>
            <w:tcW w:w="4100" w:type="dxa"/>
            <w:vAlign w:val="bottom"/>
            <w:gridSpan w:val="39"/>
          </w:tcPr>
          <w:p>
            <w:pPr>
              <w:spacing w:after="0"/>
              <w:rPr>
                <w:rFonts w:ascii="Arial" w:cs="Arial" w:eastAsia="Arial" w:hAnsi="Arial"/>
                <w:sz w:val="14"/>
                <w:szCs w:val="14"/>
                <w:color w:val="0000FF"/>
                <w:w w:val="97"/>
              </w:rPr>
            </w:pPr>
            <w:hyperlink r:id="rId142">
              <w:r>
                <w:rPr>
                  <w:rFonts w:ascii="Arial" w:cs="Arial" w:eastAsia="Arial" w:hAnsi="Arial"/>
                  <w:sz w:val="14"/>
                  <w:szCs w:val="14"/>
                  <w:color w:val="0000FF"/>
                  <w:w w:val="97"/>
                </w:rPr>
                <w:t>Director Offer Letter by and between Zoom Video Communications,</w:t>
              </w:r>
            </w:hyperlink>
          </w:p>
        </w:tc>
        <w:tc>
          <w:tcPr>
            <w:tcW w:w="1200" w:type="dxa"/>
            <w:vAlign w:val="bottom"/>
          </w:tcPr>
          <w:p>
            <w:pPr>
              <w:ind w:left="20"/>
              <w:spacing w:after="0"/>
              <w:rPr>
                <w:sz w:val="20"/>
                <w:szCs w:val="20"/>
                <w:color w:val="auto"/>
              </w:rPr>
            </w:pPr>
            <w:r>
              <w:rPr>
                <w:rFonts w:ascii="Arial" w:cs="Arial" w:eastAsia="Arial" w:hAnsi="Arial"/>
                <w:sz w:val="14"/>
                <w:szCs w:val="14"/>
                <w:color w:val="auto"/>
              </w:rPr>
              <w:t>10-Q</w:t>
            </w:r>
          </w:p>
        </w:tc>
        <w:tc>
          <w:tcPr>
            <w:tcW w:w="1560" w:type="dxa"/>
            <w:vAlign w:val="bottom"/>
          </w:tcPr>
          <w:p>
            <w:pPr>
              <w:ind w:left="340"/>
              <w:spacing w:after="0"/>
              <w:rPr>
                <w:sz w:val="20"/>
                <w:szCs w:val="20"/>
                <w:color w:val="auto"/>
              </w:rPr>
            </w:pPr>
            <w:r>
              <w:rPr>
                <w:rFonts w:ascii="Arial" w:cs="Arial" w:eastAsia="Arial" w:hAnsi="Arial"/>
                <w:sz w:val="14"/>
                <w:szCs w:val="14"/>
                <w:color w:val="auto"/>
              </w:rPr>
              <w:t>001-38865</w:t>
            </w:r>
          </w:p>
        </w:tc>
        <w:tc>
          <w:tcPr>
            <w:tcW w:w="1500" w:type="dxa"/>
            <w:vAlign w:val="bottom"/>
          </w:tcPr>
          <w:p>
            <w:pPr>
              <w:ind w:left="300"/>
              <w:spacing w:after="0"/>
              <w:rPr>
                <w:sz w:val="20"/>
                <w:szCs w:val="20"/>
                <w:color w:val="auto"/>
              </w:rPr>
            </w:pPr>
            <w:r>
              <w:rPr>
                <w:rFonts w:ascii="Arial" w:cs="Arial" w:eastAsia="Arial" w:hAnsi="Arial"/>
                <w:sz w:val="14"/>
                <w:szCs w:val="14"/>
                <w:color w:val="auto"/>
              </w:rPr>
              <w:t>10.2</w:t>
            </w:r>
          </w:p>
        </w:tc>
        <w:tc>
          <w:tcPr>
            <w:tcW w:w="1700" w:type="dxa"/>
            <w:vAlign w:val="bottom"/>
          </w:tcPr>
          <w:p>
            <w:pPr>
              <w:ind w:left="280"/>
              <w:spacing w:after="0"/>
              <w:rPr>
                <w:sz w:val="20"/>
                <w:szCs w:val="20"/>
                <w:color w:val="auto"/>
              </w:rPr>
            </w:pPr>
            <w:r>
              <w:rPr>
                <w:rFonts w:ascii="Arial" w:cs="Arial" w:eastAsia="Arial" w:hAnsi="Arial"/>
                <w:sz w:val="14"/>
                <w:szCs w:val="14"/>
                <w:color w:val="auto"/>
              </w:rPr>
              <w:t>September 3, 2020</w:t>
            </w:r>
          </w:p>
        </w:tc>
      </w:tr>
      <w:tr>
        <w:trPr>
          <w:trHeight w:val="150"/>
        </w:trPr>
        <w:tc>
          <w:tcPr>
            <w:tcW w:w="1160" w:type="dxa"/>
            <w:vAlign w:val="bottom"/>
          </w:tcPr>
          <w:p>
            <w:pPr>
              <w:spacing w:after="0"/>
              <w:rPr>
                <w:sz w:val="13"/>
                <w:szCs w:val="13"/>
                <w:color w:val="auto"/>
              </w:rPr>
            </w:pPr>
          </w:p>
        </w:tc>
        <w:tc>
          <w:tcPr>
            <w:tcW w:w="3960" w:type="dxa"/>
            <w:vAlign w:val="bottom"/>
            <w:tcBorders>
              <w:top w:val="single" w:sz="8" w:color="0000FF"/>
            </w:tcBorders>
            <w:gridSpan w:val="35"/>
          </w:tcPr>
          <w:p>
            <w:pPr>
              <w:spacing w:after="0" w:line="151" w:lineRule="exact"/>
              <w:rPr>
                <w:rFonts w:ascii="Arial" w:cs="Arial" w:eastAsia="Arial" w:hAnsi="Arial"/>
                <w:sz w:val="14"/>
                <w:szCs w:val="14"/>
                <w:u w:val="single" w:color="auto"/>
                <w:color w:val="0000FF"/>
              </w:rPr>
            </w:pPr>
            <w:hyperlink r:id="rId142">
              <w:r>
                <w:rPr>
                  <w:rFonts w:ascii="Arial" w:cs="Arial" w:eastAsia="Arial" w:hAnsi="Arial"/>
                  <w:sz w:val="14"/>
                  <w:szCs w:val="14"/>
                  <w:u w:val="single" w:color="auto"/>
                  <w:color w:val="0000FF"/>
                </w:rPr>
                <w:t>Inc. and Lieut. General H.R. McMaster dated May 6, 2020</w:t>
              </w:r>
            </w:hyperlink>
          </w:p>
        </w:tc>
        <w:tc>
          <w:tcPr>
            <w:tcW w:w="140" w:type="dxa"/>
            <w:vAlign w:val="bottom"/>
            <w:gridSpan w:val="4"/>
          </w:tcPr>
          <w:p>
            <w:pPr>
              <w:spacing w:after="0"/>
              <w:rPr>
                <w:sz w:val="13"/>
                <w:szCs w:val="13"/>
                <w:color w:val="auto"/>
              </w:rPr>
            </w:pPr>
          </w:p>
        </w:tc>
        <w:tc>
          <w:tcPr>
            <w:tcW w:w="1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54"/>
        </w:trPr>
        <w:tc>
          <w:tcPr>
            <w:tcW w:w="1160" w:type="dxa"/>
            <w:vAlign w:val="bottom"/>
          </w:tcPr>
          <w:p>
            <w:pPr>
              <w:spacing w:after="0" w:line="154" w:lineRule="exact"/>
              <w:rPr>
                <w:sz w:val="20"/>
                <w:szCs w:val="20"/>
                <w:color w:val="auto"/>
              </w:rPr>
            </w:pPr>
            <w:r>
              <w:rPr>
                <w:rFonts w:ascii="Arial" w:cs="Arial" w:eastAsia="Arial" w:hAnsi="Arial"/>
                <w:sz w:val="14"/>
                <w:szCs w:val="14"/>
                <w:color w:val="auto"/>
              </w:rPr>
              <w:t>10.17</w:t>
            </w:r>
          </w:p>
        </w:tc>
        <w:tc>
          <w:tcPr>
            <w:tcW w:w="4100" w:type="dxa"/>
            <w:vAlign w:val="bottom"/>
            <w:gridSpan w:val="39"/>
          </w:tcPr>
          <w:p>
            <w:pPr>
              <w:spacing w:after="0" w:line="154" w:lineRule="exact"/>
              <w:rPr>
                <w:rFonts w:ascii="Arial" w:cs="Arial" w:eastAsia="Arial" w:hAnsi="Arial"/>
                <w:sz w:val="14"/>
                <w:szCs w:val="14"/>
                <w:color w:val="0000FF"/>
                <w:w w:val="97"/>
              </w:rPr>
            </w:pPr>
            <w:hyperlink w:anchor="page111">
              <w:r>
                <w:rPr>
                  <w:rFonts w:ascii="Arial" w:cs="Arial" w:eastAsia="Arial" w:hAnsi="Arial"/>
                  <w:sz w:val="14"/>
                  <w:szCs w:val="14"/>
                  <w:color w:val="0000FF"/>
                  <w:w w:val="97"/>
                </w:rPr>
                <w:t>Director Offer Letter by and between Zoom Video Communications,</w:t>
              </w:r>
            </w:hyperlink>
          </w:p>
        </w:tc>
        <w:tc>
          <w:tcPr>
            <w:tcW w:w="1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15"/>
        </w:trPr>
        <w:tc>
          <w:tcPr>
            <w:tcW w:w="1160" w:type="dxa"/>
            <w:vAlign w:val="bottom"/>
          </w:tcPr>
          <w:p>
            <w:pPr>
              <w:spacing w:after="0"/>
              <w:rPr>
                <w:sz w:val="10"/>
                <w:szCs w:val="10"/>
                <w:color w:val="auto"/>
              </w:rPr>
            </w:pPr>
          </w:p>
        </w:tc>
        <w:tc>
          <w:tcPr>
            <w:tcW w:w="3960" w:type="dxa"/>
            <w:vAlign w:val="bottom"/>
            <w:tcBorders>
              <w:top w:val="single" w:sz="8" w:color="0000FF"/>
            </w:tcBorders>
            <w:gridSpan w:val="35"/>
          </w:tcPr>
          <w:p>
            <w:pPr>
              <w:spacing w:after="0" w:line="115" w:lineRule="exact"/>
              <w:rPr>
                <w:rFonts w:ascii="Arial" w:cs="Arial" w:eastAsia="Arial" w:hAnsi="Arial"/>
                <w:sz w:val="13"/>
                <w:szCs w:val="13"/>
                <w:color w:val="0000FF"/>
              </w:rPr>
            </w:pPr>
            <w:hyperlink w:anchor="page111">
              <w:r>
                <w:rPr>
                  <w:rFonts w:ascii="Arial" w:cs="Arial" w:eastAsia="Arial" w:hAnsi="Arial"/>
                  <w:sz w:val="13"/>
                  <w:szCs w:val="13"/>
                  <w:color w:val="0000FF"/>
                </w:rPr>
                <w:t>Inc. and Janet Napolitano dated November 2, 2020</w:t>
              </w:r>
            </w:hyperlink>
          </w:p>
        </w:tc>
        <w:tc>
          <w:tcPr>
            <w:tcW w:w="140" w:type="dxa"/>
            <w:vAlign w:val="bottom"/>
            <w:gridSpan w:val="4"/>
          </w:tcPr>
          <w:p>
            <w:pPr>
              <w:spacing w:after="0"/>
              <w:rPr>
                <w:sz w:val="10"/>
                <w:szCs w:val="10"/>
                <w:color w:val="auto"/>
              </w:rPr>
            </w:pPr>
          </w:p>
        </w:tc>
        <w:tc>
          <w:tcPr>
            <w:tcW w:w="12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
        </w:trPr>
        <w:tc>
          <w:tcPr>
            <w:tcW w:w="1160" w:type="dxa"/>
            <w:vAlign w:val="bottom"/>
          </w:tcPr>
          <w:p>
            <w:pPr>
              <w:spacing w:after="0" w:line="20" w:lineRule="exact"/>
              <w:rPr>
                <w:sz w:val="1"/>
                <w:szCs w:val="1"/>
                <w:color w:val="auto"/>
              </w:rPr>
            </w:pPr>
          </w:p>
        </w:tc>
        <w:tc>
          <w:tcPr>
            <w:tcW w:w="2920" w:type="dxa"/>
            <w:vAlign w:val="bottom"/>
            <w:gridSpan w:val="14"/>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19"/>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63"/>
        </w:trPr>
        <w:tc>
          <w:tcPr>
            <w:tcW w:w="1160" w:type="dxa"/>
            <w:vAlign w:val="bottom"/>
          </w:tcPr>
          <w:p>
            <w:pPr>
              <w:spacing w:after="0" w:line="155" w:lineRule="exact"/>
              <w:rPr>
                <w:sz w:val="20"/>
                <w:szCs w:val="20"/>
                <w:color w:val="auto"/>
              </w:rPr>
            </w:pPr>
            <w:r>
              <w:rPr>
                <w:rFonts w:ascii="Arial" w:cs="Arial" w:eastAsia="Arial" w:hAnsi="Arial"/>
                <w:sz w:val="14"/>
                <w:szCs w:val="14"/>
                <w:color w:val="auto"/>
              </w:rPr>
              <w:t>10.18</w:t>
            </w:r>
          </w:p>
        </w:tc>
        <w:tc>
          <w:tcPr>
            <w:tcW w:w="4100" w:type="dxa"/>
            <w:vAlign w:val="bottom"/>
            <w:gridSpan w:val="39"/>
          </w:tcPr>
          <w:p>
            <w:pPr>
              <w:spacing w:after="0" w:line="155" w:lineRule="exact"/>
              <w:rPr>
                <w:rFonts w:ascii="Arial" w:cs="Arial" w:eastAsia="Arial" w:hAnsi="Arial"/>
                <w:sz w:val="14"/>
                <w:szCs w:val="14"/>
                <w:color w:val="0000FF"/>
              </w:rPr>
            </w:pPr>
            <w:hyperlink r:id="rId143">
              <w:r>
                <w:rPr>
                  <w:rFonts w:ascii="Arial" w:cs="Arial" w:eastAsia="Arial" w:hAnsi="Arial"/>
                  <w:sz w:val="14"/>
                  <w:szCs w:val="14"/>
                  <w:color w:val="0000FF"/>
                </w:rPr>
                <w:t>Lease Agreement dated August 1, 2016, as amended, by and</w:t>
              </w:r>
            </w:hyperlink>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S-1</w:t>
            </w:r>
          </w:p>
        </w:tc>
        <w:tc>
          <w:tcPr>
            <w:tcW w:w="1560" w:type="dxa"/>
            <w:vAlign w:val="bottom"/>
          </w:tcPr>
          <w:p>
            <w:pPr>
              <w:ind w:left="340"/>
              <w:spacing w:after="0" w:line="155" w:lineRule="exact"/>
              <w:rPr>
                <w:sz w:val="20"/>
                <w:szCs w:val="20"/>
                <w:color w:val="auto"/>
              </w:rPr>
            </w:pPr>
            <w:r>
              <w:rPr>
                <w:rFonts w:ascii="Arial" w:cs="Arial" w:eastAsia="Arial" w:hAnsi="Arial"/>
                <w:sz w:val="14"/>
                <w:szCs w:val="14"/>
                <w:color w:val="auto"/>
              </w:rPr>
              <w:t>333-230444</w:t>
            </w:r>
          </w:p>
        </w:tc>
        <w:tc>
          <w:tcPr>
            <w:tcW w:w="1500" w:type="dxa"/>
            <w:vAlign w:val="bottom"/>
          </w:tcPr>
          <w:p>
            <w:pPr>
              <w:ind w:left="300"/>
              <w:spacing w:after="0" w:line="155" w:lineRule="exact"/>
              <w:rPr>
                <w:sz w:val="20"/>
                <w:szCs w:val="20"/>
                <w:color w:val="auto"/>
              </w:rPr>
            </w:pPr>
            <w:r>
              <w:rPr>
                <w:rFonts w:ascii="Arial" w:cs="Arial" w:eastAsia="Arial" w:hAnsi="Arial"/>
                <w:sz w:val="14"/>
                <w:szCs w:val="14"/>
                <w:color w:val="auto"/>
              </w:rPr>
              <w:t>10.9</w:t>
            </w:r>
          </w:p>
        </w:tc>
        <w:tc>
          <w:tcPr>
            <w:tcW w:w="1700" w:type="dxa"/>
            <w:vAlign w:val="bottom"/>
          </w:tcPr>
          <w:p>
            <w:pPr>
              <w:ind w:left="280"/>
              <w:spacing w:after="0" w:line="155" w:lineRule="exact"/>
              <w:rPr>
                <w:sz w:val="20"/>
                <w:szCs w:val="20"/>
                <w:color w:val="auto"/>
              </w:rPr>
            </w:pPr>
            <w:r>
              <w:rPr>
                <w:rFonts w:ascii="Arial" w:cs="Arial" w:eastAsia="Arial" w:hAnsi="Arial"/>
                <w:sz w:val="14"/>
                <w:szCs w:val="14"/>
                <w:color w:val="auto"/>
              </w:rPr>
              <w:t>March 22, 2019</w:t>
            </w:r>
          </w:p>
        </w:tc>
      </w:tr>
      <w:tr>
        <w:trPr>
          <w:trHeight w:val="157"/>
        </w:trPr>
        <w:tc>
          <w:tcPr>
            <w:tcW w:w="1160" w:type="dxa"/>
            <w:vAlign w:val="bottom"/>
          </w:tcPr>
          <w:p>
            <w:pPr>
              <w:spacing w:after="0"/>
              <w:rPr>
                <w:sz w:val="13"/>
                <w:szCs w:val="13"/>
                <w:color w:val="auto"/>
              </w:rPr>
            </w:pPr>
          </w:p>
        </w:tc>
        <w:tc>
          <w:tcPr>
            <w:tcW w:w="3500" w:type="dxa"/>
            <w:vAlign w:val="bottom"/>
            <w:tcBorders>
              <w:top w:val="single" w:sz="8" w:color="0000FF"/>
            </w:tcBorders>
            <w:gridSpan w:val="20"/>
          </w:tcPr>
          <w:p>
            <w:pPr>
              <w:spacing w:after="0" w:line="157" w:lineRule="exact"/>
              <w:rPr>
                <w:rFonts w:ascii="Arial" w:cs="Arial" w:eastAsia="Arial" w:hAnsi="Arial"/>
                <w:sz w:val="14"/>
                <w:szCs w:val="14"/>
                <w:u w:val="single" w:color="auto"/>
                <w:color w:val="0000FF"/>
                <w:w w:val="92"/>
              </w:rPr>
            </w:pPr>
            <w:hyperlink r:id="rId143">
              <w:r>
                <w:rPr>
                  <w:rFonts w:ascii="Arial" w:cs="Arial" w:eastAsia="Arial" w:hAnsi="Arial"/>
                  <w:sz w:val="14"/>
                  <w:szCs w:val="14"/>
                  <w:u w:val="single" w:color="auto"/>
                  <w:color w:val="0000FF"/>
                  <w:w w:val="92"/>
                </w:rPr>
                <w:t>between the Registrant and KBSIII Almaden Financial Plaza,</w:t>
              </w:r>
            </w:hyperlink>
          </w:p>
        </w:tc>
        <w:tc>
          <w:tcPr>
            <w:tcW w:w="600" w:type="dxa"/>
            <w:vAlign w:val="bottom"/>
            <w:gridSpan w:val="19"/>
          </w:tcPr>
          <w:p>
            <w:pPr>
              <w:ind w:left="60"/>
              <w:spacing w:after="0" w:line="155" w:lineRule="exact"/>
              <w:rPr>
                <w:rFonts w:ascii="Arial" w:cs="Arial" w:eastAsia="Arial" w:hAnsi="Arial"/>
                <w:sz w:val="14"/>
                <w:szCs w:val="14"/>
                <w:u w:val="single" w:color="auto"/>
                <w:color w:val="0000FF"/>
              </w:rPr>
            </w:pPr>
            <w:hyperlink r:id="rId143">
              <w:r>
                <w:rPr>
                  <w:rFonts w:ascii="Arial" w:cs="Arial" w:eastAsia="Arial" w:hAnsi="Arial"/>
                  <w:sz w:val="14"/>
                  <w:szCs w:val="14"/>
                  <w:u w:val="single" w:color="auto"/>
                  <w:color w:val="0000FF"/>
                </w:rPr>
                <w:t>LLC.</w:t>
              </w:r>
            </w:hyperlink>
          </w:p>
        </w:tc>
        <w:tc>
          <w:tcPr>
            <w:tcW w:w="1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54"/>
        </w:trPr>
        <w:tc>
          <w:tcPr>
            <w:tcW w:w="1160" w:type="dxa"/>
            <w:vAlign w:val="bottom"/>
          </w:tcPr>
          <w:p>
            <w:pPr>
              <w:spacing w:after="0" w:line="154" w:lineRule="exact"/>
              <w:rPr>
                <w:sz w:val="20"/>
                <w:szCs w:val="20"/>
                <w:color w:val="auto"/>
              </w:rPr>
            </w:pPr>
            <w:r>
              <w:rPr>
                <w:rFonts w:ascii="Arial" w:cs="Arial" w:eastAsia="Arial" w:hAnsi="Arial"/>
                <w:sz w:val="14"/>
                <w:szCs w:val="14"/>
                <w:color w:val="auto"/>
              </w:rPr>
              <w:t>10.19</w:t>
            </w:r>
          </w:p>
        </w:tc>
        <w:tc>
          <w:tcPr>
            <w:tcW w:w="4100" w:type="dxa"/>
            <w:vAlign w:val="bottom"/>
            <w:gridSpan w:val="39"/>
          </w:tcPr>
          <w:p>
            <w:pPr>
              <w:spacing w:after="0" w:line="154" w:lineRule="exact"/>
              <w:rPr>
                <w:rFonts w:ascii="Arial" w:cs="Arial" w:eastAsia="Arial" w:hAnsi="Arial"/>
                <w:sz w:val="14"/>
                <w:szCs w:val="14"/>
                <w:color w:val="0000FF"/>
              </w:rPr>
            </w:pPr>
            <w:hyperlink r:id="rId144">
              <w:r>
                <w:rPr>
                  <w:rFonts w:ascii="Arial" w:cs="Arial" w:eastAsia="Arial" w:hAnsi="Arial"/>
                  <w:sz w:val="14"/>
                  <w:szCs w:val="14"/>
                  <w:color w:val="0000FF"/>
                </w:rPr>
                <w:t>Fourth Amendment to Lease Agreement by and between the</w:t>
              </w:r>
            </w:hyperlink>
          </w:p>
        </w:tc>
        <w:tc>
          <w:tcPr>
            <w:tcW w:w="1200" w:type="dxa"/>
            <w:vAlign w:val="bottom"/>
          </w:tcPr>
          <w:p>
            <w:pPr>
              <w:ind w:left="20"/>
              <w:spacing w:after="0" w:line="154" w:lineRule="exact"/>
              <w:rPr>
                <w:sz w:val="20"/>
                <w:szCs w:val="20"/>
                <w:color w:val="auto"/>
              </w:rPr>
            </w:pPr>
            <w:r>
              <w:rPr>
                <w:rFonts w:ascii="Arial" w:cs="Arial" w:eastAsia="Arial" w:hAnsi="Arial"/>
                <w:sz w:val="14"/>
                <w:szCs w:val="14"/>
                <w:color w:val="auto"/>
              </w:rPr>
              <w:t>10-Q</w:t>
            </w:r>
          </w:p>
        </w:tc>
        <w:tc>
          <w:tcPr>
            <w:tcW w:w="1560" w:type="dxa"/>
            <w:vAlign w:val="bottom"/>
          </w:tcPr>
          <w:p>
            <w:pPr>
              <w:ind w:left="340"/>
              <w:spacing w:after="0" w:line="154" w:lineRule="exact"/>
              <w:rPr>
                <w:sz w:val="20"/>
                <w:szCs w:val="20"/>
                <w:color w:val="auto"/>
              </w:rPr>
            </w:pPr>
            <w:r>
              <w:rPr>
                <w:rFonts w:ascii="Arial" w:cs="Arial" w:eastAsia="Arial" w:hAnsi="Arial"/>
                <w:sz w:val="14"/>
                <w:szCs w:val="14"/>
                <w:color w:val="auto"/>
              </w:rPr>
              <w:t>001-38865</w:t>
            </w:r>
          </w:p>
        </w:tc>
        <w:tc>
          <w:tcPr>
            <w:tcW w:w="1500" w:type="dxa"/>
            <w:vAlign w:val="bottom"/>
          </w:tcPr>
          <w:p>
            <w:pPr>
              <w:ind w:left="300"/>
              <w:spacing w:after="0" w:line="154" w:lineRule="exact"/>
              <w:rPr>
                <w:sz w:val="20"/>
                <w:szCs w:val="20"/>
                <w:color w:val="auto"/>
              </w:rPr>
            </w:pPr>
            <w:r>
              <w:rPr>
                <w:rFonts w:ascii="Arial" w:cs="Arial" w:eastAsia="Arial" w:hAnsi="Arial"/>
                <w:sz w:val="14"/>
                <w:szCs w:val="14"/>
                <w:color w:val="auto"/>
              </w:rPr>
              <w:t>10.5</w:t>
            </w:r>
          </w:p>
        </w:tc>
        <w:tc>
          <w:tcPr>
            <w:tcW w:w="1700" w:type="dxa"/>
            <w:vAlign w:val="bottom"/>
          </w:tcPr>
          <w:p>
            <w:pPr>
              <w:ind w:left="280"/>
              <w:spacing w:after="0" w:line="154" w:lineRule="exact"/>
              <w:rPr>
                <w:sz w:val="20"/>
                <w:szCs w:val="20"/>
                <w:color w:val="auto"/>
              </w:rPr>
            </w:pPr>
            <w:r>
              <w:rPr>
                <w:rFonts w:ascii="Arial" w:cs="Arial" w:eastAsia="Arial" w:hAnsi="Arial"/>
                <w:sz w:val="14"/>
                <w:szCs w:val="14"/>
                <w:color w:val="auto"/>
              </w:rPr>
              <w:t>September 13, 2019</w:t>
            </w:r>
          </w:p>
        </w:tc>
      </w:tr>
      <w:tr>
        <w:trPr>
          <w:trHeight w:val="176"/>
        </w:trPr>
        <w:tc>
          <w:tcPr>
            <w:tcW w:w="1160" w:type="dxa"/>
            <w:vAlign w:val="bottom"/>
          </w:tcPr>
          <w:p>
            <w:pPr>
              <w:spacing w:after="0"/>
              <w:rPr>
                <w:sz w:val="15"/>
                <w:szCs w:val="15"/>
                <w:color w:val="auto"/>
              </w:rPr>
            </w:pPr>
          </w:p>
        </w:tc>
        <w:tc>
          <w:tcPr>
            <w:tcW w:w="3480" w:type="dxa"/>
            <w:vAlign w:val="bottom"/>
            <w:tcBorders>
              <w:top w:val="single" w:sz="8" w:color="0000FF"/>
            </w:tcBorders>
            <w:gridSpan w:val="19"/>
          </w:tcPr>
          <w:p>
            <w:pPr>
              <w:spacing w:after="0"/>
              <w:rPr>
                <w:rFonts w:ascii="Arial" w:cs="Arial" w:eastAsia="Arial" w:hAnsi="Arial"/>
                <w:sz w:val="14"/>
                <w:szCs w:val="14"/>
                <w:u w:val="single" w:color="auto"/>
                <w:color w:val="0000FF"/>
              </w:rPr>
            </w:pPr>
            <w:hyperlink r:id="rId144">
              <w:r>
                <w:rPr>
                  <w:rFonts w:ascii="Arial" w:cs="Arial" w:eastAsia="Arial" w:hAnsi="Arial"/>
                  <w:sz w:val="14"/>
                  <w:szCs w:val="14"/>
                  <w:u w:val="single" w:color="auto"/>
                  <w:color w:val="0000FF"/>
                </w:rPr>
                <w:t>Registrant and KBSIII Almaden Financial Plaza, LLC.</w:t>
              </w:r>
            </w:hyperlink>
          </w:p>
        </w:tc>
        <w:tc>
          <w:tcPr>
            <w:tcW w:w="620" w:type="dxa"/>
            <w:vAlign w:val="bottom"/>
            <w:gridSpan w:val="20"/>
          </w:tcPr>
          <w:p>
            <w:pPr>
              <w:spacing w:after="0"/>
              <w:rPr>
                <w:sz w:val="15"/>
                <w:szCs w:val="15"/>
                <w:color w:val="auto"/>
              </w:rPr>
            </w:pPr>
          </w:p>
        </w:tc>
        <w:tc>
          <w:tcPr>
            <w:tcW w:w="1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color w:val="auto"/>
              </w:rPr>
              <w:t>10.20</w:t>
            </w:r>
          </w:p>
        </w:tc>
        <w:tc>
          <w:tcPr>
            <w:tcW w:w="4040" w:type="dxa"/>
            <w:vAlign w:val="bottom"/>
            <w:gridSpan w:val="17"/>
          </w:tcPr>
          <w:p>
            <w:pPr>
              <w:spacing w:after="0"/>
              <w:rPr>
                <w:rFonts w:ascii="Arial" w:cs="Arial" w:eastAsia="Arial" w:hAnsi="Arial"/>
                <w:sz w:val="14"/>
                <w:szCs w:val="14"/>
                <w:color w:val="0000FF"/>
                <w:w w:val="96"/>
              </w:rPr>
            </w:pPr>
            <w:hyperlink r:id="rId146">
              <w:r>
                <w:rPr>
                  <w:rFonts w:ascii="Arial" w:cs="Arial" w:eastAsia="Arial" w:hAnsi="Arial"/>
                  <w:sz w:val="14"/>
                  <w:szCs w:val="14"/>
                  <w:color w:val="0000FF"/>
                  <w:w w:val="96"/>
                </w:rPr>
                <w:t>Fifth Amendment to Lease Agreement by and between Zoom Video</w:t>
              </w:r>
            </w:hyperlink>
          </w:p>
        </w:tc>
        <w:tc>
          <w:tcPr>
            <w:tcW w:w="1000" w:type="dxa"/>
            <w:vAlign w:val="bottom"/>
          </w:tcPr>
          <w:p>
            <w:pPr>
              <w:ind w:left="80"/>
              <w:spacing w:after="0"/>
              <w:rPr>
                <w:sz w:val="20"/>
                <w:szCs w:val="20"/>
                <w:color w:val="auto"/>
              </w:rPr>
            </w:pPr>
            <w:r>
              <w:rPr>
                <w:rFonts w:ascii="Arial" w:cs="Arial" w:eastAsia="Arial" w:hAnsi="Arial"/>
                <w:sz w:val="14"/>
                <w:szCs w:val="14"/>
                <w:color w:val="auto"/>
              </w:rPr>
              <w:t>10-Q</w:t>
            </w:r>
          </w:p>
        </w:tc>
        <w:tc>
          <w:tcPr>
            <w:tcW w:w="1700" w:type="dxa"/>
            <w:vAlign w:val="bottom"/>
          </w:tcPr>
          <w:p>
            <w:pPr>
              <w:ind w:left="600"/>
              <w:spacing w:after="0"/>
              <w:rPr>
                <w:sz w:val="20"/>
                <w:szCs w:val="20"/>
                <w:color w:val="auto"/>
              </w:rPr>
            </w:pPr>
            <w:r>
              <w:rPr>
                <w:rFonts w:ascii="Arial" w:cs="Arial" w:eastAsia="Arial" w:hAnsi="Arial"/>
                <w:sz w:val="14"/>
                <w:szCs w:val="14"/>
                <w:color w:val="auto"/>
              </w:rPr>
              <w:t>001-38865</w:t>
            </w:r>
          </w:p>
        </w:tc>
        <w:tc>
          <w:tcPr>
            <w:tcW w:w="1320" w:type="dxa"/>
            <w:vAlign w:val="bottom"/>
          </w:tcPr>
          <w:p>
            <w:pPr>
              <w:ind w:left="420"/>
              <w:spacing w:after="0"/>
              <w:rPr>
                <w:sz w:val="20"/>
                <w:szCs w:val="20"/>
                <w:color w:val="auto"/>
              </w:rPr>
            </w:pPr>
            <w:r>
              <w:rPr>
                <w:rFonts w:ascii="Arial" w:cs="Arial" w:eastAsia="Arial" w:hAnsi="Arial"/>
                <w:sz w:val="14"/>
                <w:szCs w:val="14"/>
                <w:color w:val="auto"/>
              </w:rPr>
              <w:t>10.1</w:t>
            </w:r>
          </w:p>
        </w:tc>
        <w:tc>
          <w:tcPr>
            <w:tcW w:w="1360" w:type="dxa"/>
            <w:vAlign w:val="bottom"/>
          </w:tcPr>
          <w:p>
            <w:pPr>
              <w:ind w:left="580"/>
              <w:spacing w:after="0"/>
              <w:rPr>
                <w:sz w:val="20"/>
                <w:szCs w:val="20"/>
                <w:color w:val="auto"/>
              </w:rPr>
            </w:pPr>
            <w:r>
              <w:rPr>
                <w:rFonts w:ascii="Arial" w:cs="Arial" w:eastAsia="Arial" w:hAnsi="Arial"/>
                <w:sz w:val="14"/>
                <w:szCs w:val="14"/>
                <w:color w:val="auto"/>
                <w:w w:val="93"/>
              </w:rPr>
              <w:t>June 5, 2020</w:t>
            </w:r>
          </w:p>
        </w:tc>
      </w:tr>
      <w:tr>
        <w:trPr>
          <w:trHeight w:val="115"/>
        </w:trPr>
        <w:tc>
          <w:tcPr>
            <w:tcW w:w="1160" w:type="dxa"/>
            <w:vAlign w:val="bottom"/>
          </w:tcPr>
          <w:p>
            <w:pPr>
              <w:spacing w:after="0"/>
              <w:rPr>
                <w:sz w:val="10"/>
                <w:szCs w:val="10"/>
                <w:color w:val="auto"/>
              </w:rPr>
            </w:pPr>
          </w:p>
        </w:tc>
        <w:tc>
          <w:tcPr>
            <w:tcW w:w="3920" w:type="dxa"/>
            <w:vAlign w:val="bottom"/>
            <w:tcBorders>
              <w:top w:val="single" w:sz="8" w:color="0000FF"/>
            </w:tcBorders>
            <w:gridSpan w:val="15"/>
          </w:tcPr>
          <w:p>
            <w:pPr>
              <w:spacing w:after="0" w:line="115" w:lineRule="exact"/>
              <w:rPr>
                <w:rFonts w:ascii="Arial" w:cs="Arial" w:eastAsia="Arial" w:hAnsi="Arial"/>
                <w:sz w:val="13"/>
                <w:szCs w:val="13"/>
                <w:color w:val="0000FF"/>
              </w:rPr>
            </w:pPr>
            <w:hyperlink r:id="rId146">
              <w:r>
                <w:rPr>
                  <w:rFonts w:ascii="Arial" w:cs="Arial" w:eastAsia="Arial" w:hAnsi="Arial"/>
                  <w:sz w:val="13"/>
                  <w:szCs w:val="13"/>
                  <w:color w:val="0000FF"/>
                </w:rPr>
                <w:t>Communications, Inc. and KBSIII Almaden Financial Plaza, LLC</w:t>
              </w:r>
            </w:hyperlink>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15"/>
        </w:trPr>
        <w:tc>
          <w:tcPr>
            <w:tcW w:w="1160" w:type="dxa"/>
            <w:vAlign w:val="bottom"/>
          </w:tcPr>
          <w:p>
            <w:pPr>
              <w:spacing w:after="0"/>
              <w:rPr>
                <w:sz w:val="10"/>
                <w:szCs w:val="10"/>
                <w:color w:val="auto"/>
              </w:rPr>
            </w:pPr>
          </w:p>
        </w:tc>
        <w:tc>
          <w:tcPr>
            <w:tcW w:w="1220" w:type="dxa"/>
            <w:vAlign w:val="bottom"/>
            <w:tcBorders>
              <w:top w:val="single" w:sz="8" w:color="0000FF"/>
              <w:bottom w:val="single" w:sz="8" w:color="0000FF"/>
            </w:tcBorders>
            <w:gridSpan w:val="4"/>
          </w:tcPr>
          <w:p>
            <w:pPr>
              <w:spacing w:after="0" w:line="115" w:lineRule="exact"/>
              <w:rPr>
                <w:rFonts w:ascii="Arial" w:cs="Arial" w:eastAsia="Arial" w:hAnsi="Arial"/>
                <w:sz w:val="13"/>
                <w:szCs w:val="13"/>
                <w:color w:val="0000FF"/>
                <w:w w:val="97"/>
              </w:rPr>
            </w:pPr>
            <w:hyperlink r:id="rId146">
              <w:r>
                <w:rPr>
                  <w:rFonts w:ascii="Arial" w:cs="Arial" w:eastAsia="Arial" w:hAnsi="Arial"/>
                  <w:sz w:val="13"/>
                  <w:szCs w:val="13"/>
                  <w:color w:val="0000FF"/>
                  <w:w w:val="97"/>
                </w:rPr>
                <w:t>dated March 9, 2020.</w:t>
              </w:r>
            </w:hyperlink>
          </w:p>
        </w:tc>
        <w:tc>
          <w:tcPr>
            <w:tcW w:w="2600" w:type="dxa"/>
            <w:vAlign w:val="bottom"/>
            <w:tcBorders>
              <w:top w:val="single" w:sz="8" w:color="0000FF"/>
            </w:tcBorders>
            <w:gridSpan w:val="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10.21#</w:t>
            </w:r>
          </w:p>
        </w:tc>
        <w:tc>
          <w:tcPr>
            <w:tcW w:w="4040" w:type="dxa"/>
            <w:vAlign w:val="bottom"/>
            <w:gridSpan w:val="17"/>
          </w:tcPr>
          <w:p>
            <w:pPr>
              <w:spacing w:after="0"/>
              <w:rPr>
                <w:rFonts w:ascii="Arial" w:cs="Arial" w:eastAsia="Arial" w:hAnsi="Arial"/>
                <w:sz w:val="14"/>
                <w:szCs w:val="14"/>
                <w:color w:val="0000FF"/>
              </w:rPr>
            </w:pPr>
            <w:hyperlink w:anchor="page113">
              <w:r>
                <w:rPr>
                  <w:rFonts w:ascii="Arial" w:cs="Arial" w:eastAsia="Arial" w:hAnsi="Arial"/>
                  <w:sz w:val="14"/>
                  <w:szCs w:val="14"/>
                  <w:color w:val="0000FF"/>
                </w:rPr>
                <w:t>Zoom Video Communications, Inc. Officer Incentive Plan, as</w:t>
              </w:r>
            </w:hyperlink>
          </w:p>
        </w:tc>
        <w:tc>
          <w:tcPr>
            <w:tcW w:w="1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15"/>
        </w:trPr>
        <w:tc>
          <w:tcPr>
            <w:tcW w:w="1160" w:type="dxa"/>
            <w:vAlign w:val="bottom"/>
          </w:tcPr>
          <w:p>
            <w:pPr>
              <w:spacing w:after="0"/>
              <w:rPr>
                <w:sz w:val="10"/>
                <w:szCs w:val="10"/>
                <w:color w:val="auto"/>
              </w:rPr>
            </w:pPr>
          </w:p>
        </w:tc>
        <w:tc>
          <w:tcPr>
            <w:tcW w:w="520" w:type="dxa"/>
            <w:vAlign w:val="bottom"/>
            <w:tcBorders>
              <w:top w:val="single" w:sz="8" w:color="0000FF"/>
              <w:bottom w:val="single" w:sz="8" w:color="0000FF"/>
            </w:tcBorders>
            <w:gridSpan w:val="3"/>
          </w:tcPr>
          <w:p>
            <w:pPr>
              <w:spacing w:after="0" w:line="115" w:lineRule="exact"/>
              <w:rPr>
                <w:rFonts w:ascii="Arial" w:cs="Arial" w:eastAsia="Arial" w:hAnsi="Arial"/>
                <w:sz w:val="13"/>
                <w:szCs w:val="13"/>
                <w:color w:val="0000FF"/>
                <w:w w:val="92"/>
              </w:rPr>
            </w:pPr>
            <w:hyperlink w:anchor="page113">
              <w:r>
                <w:rPr>
                  <w:rFonts w:ascii="Arial" w:cs="Arial" w:eastAsia="Arial" w:hAnsi="Arial"/>
                  <w:sz w:val="13"/>
                  <w:szCs w:val="13"/>
                  <w:color w:val="0000FF"/>
                  <w:w w:val="92"/>
                </w:rPr>
                <w:t>amended</w:t>
              </w:r>
            </w:hyperlink>
          </w:p>
        </w:tc>
        <w:tc>
          <w:tcPr>
            <w:tcW w:w="3000" w:type="dxa"/>
            <w:vAlign w:val="bottom"/>
            <w:tcBorders>
              <w:top w:val="single" w:sz="8" w:color="0000FF"/>
            </w:tcBorders>
            <w:gridSpan w:val="4"/>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10.22</w:t>
            </w:r>
          </w:p>
        </w:tc>
        <w:tc>
          <w:tcPr>
            <w:tcW w:w="4040" w:type="dxa"/>
            <w:vAlign w:val="bottom"/>
            <w:gridSpan w:val="17"/>
          </w:tcPr>
          <w:p>
            <w:pPr>
              <w:spacing w:after="0"/>
              <w:rPr>
                <w:rFonts w:ascii="Arial" w:cs="Arial" w:eastAsia="Arial" w:hAnsi="Arial"/>
                <w:sz w:val="14"/>
                <w:szCs w:val="14"/>
                <w:color w:val="auto"/>
                <w:w w:val="96"/>
              </w:rPr>
            </w:pPr>
            <w:hyperlink r:id="rId147">
              <w:r>
                <w:rPr>
                  <w:rFonts w:ascii="Arial" w:cs="Arial" w:eastAsia="Arial" w:hAnsi="Arial"/>
                  <w:sz w:val="14"/>
                  <w:szCs w:val="14"/>
                  <w:color w:val="auto"/>
                  <w:w w:val="96"/>
                </w:rPr>
                <w:t>Common Stock Purchase Agreement by and among the Registrant,</w:t>
              </w:r>
            </w:hyperlink>
          </w:p>
        </w:tc>
        <w:tc>
          <w:tcPr>
            <w:tcW w:w="1000" w:type="dxa"/>
            <w:vAlign w:val="bottom"/>
          </w:tcPr>
          <w:p>
            <w:pPr>
              <w:ind w:left="80"/>
              <w:spacing w:after="0"/>
              <w:rPr>
                <w:sz w:val="20"/>
                <w:szCs w:val="20"/>
                <w:color w:val="auto"/>
              </w:rPr>
            </w:pPr>
            <w:r>
              <w:rPr>
                <w:rFonts w:ascii="Arial" w:cs="Arial" w:eastAsia="Arial" w:hAnsi="Arial"/>
                <w:sz w:val="14"/>
                <w:szCs w:val="14"/>
                <w:color w:val="auto"/>
              </w:rPr>
              <w:t>S-1/A</w:t>
            </w:r>
          </w:p>
        </w:tc>
        <w:tc>
          <w:tcPr>
            <w:tcW w:w="1700" w:type="dxa"/>
            <w:vAlign w:val="bottom"/>
          </w:tcPr>
          <w:p>
            <w:pPr>
              <w:ind w:left="600"/>
              <w:spacing w:after="0"/>
              <w:rPr>
                <w:sz w:val="20"/>
                <w:szCs w:val="20"/>
                <w:color w:val="auto"/>
              </w:rPr>
            </w:pPr>
            <w:r>
              <w:rPr>
                <w:rFonts w:ascii="Arial" w:cs="Arial" w:eastAsia="Arial" w:hAnsi="Arial"/>
                <w:sz w:val="14"/>
                <w:szCs w:val="14"/>
                <w:color w:val="auto"/>
              </w:rPr>
              <w:t>333-230444</w:t>
            </w:r>
          </w:p>
        </w:tc>
        <w:tc>
          <w:tcPr>
            <w:tcW w:w="1320" w:type="dxa"/>
            <w:vAlign w:val="bottom"/>
          </w:tcPr>
          <w:p>
            <w:pPr>
              <w:ind w:left="420"/>
              <w:spacing w:after="0"/>
              <w:rPr>
                <w:sz w:val="20"/>
                <w:szCs w:val="20"/>
                <w:color w:val="auto"/>
              </w:rPr>
            </w:pPr>
            <w:r>
              <w:rPr>
                <w:rFonts w:ascii="Arial" w:cs="Arial" w:eastAsia="Arial" w:hAnsi="Arial"/>
                <w:sz w:val="14"/>
                <w:szCs w:val="14"/>
                <w:color w:val="auto"/>
              </w:rPr>
              <w:t>10.11</w:t>
            </w:r>
          </w:p>
        </w:tc>
        <w:tc>
          <w:tcPr>
            <w:tcW w:w="1360" w:type="dxa"/>
            <w:vAlign w:val="bottom"/>
          </w:tcPr>
          <w:p>
            <w:pPr>
              <w:ind w:left="580"/>
              <w:spacing w:after="0"/>
              <w:rPr>
                <w:sz w:val="20"/>
                <w:szCs w:val="20"/>
                <w:color w:val="auto"/>
              </w:rPr>
            </w:pPr>
            <w:r>
              <w:rPr>
                <w:rFonts w:ascii="Arial" w:cs="Arial" w:eastAsia="Arial" w:hAnsi="Arial"/>
                <w:sz w:val="14"/>
                <w:szCs w:val="14"/>
                <w:color w:val="auto"/>
                <w:w w:val="96"/>
              </w:rPr>
              <w:t>April 8, 2019</w:t>
            </w:r>
          </w:p>
        </w:tc>
      </w:tr>
      <w:tr>
        <w:trPr>
          <w:trHeight w:val="115"/>
        </w:trPr>
        <w:tc>
          <w:tcPr>
            <w:tcW w:w="1160" w:type="dxa"/>
            <w:vAlign w:val="bottom"/>
          </w:tcPr>
          <w:p>
            <w:pPr>
              <w:spacing w:after="0"/>
              <w:rPr>
                <w:sz w:val="10"/>
                <w:szCs w:val="10"/>
                <w:color w:val="auto"/>
              </w:rPr>
            </w:pPr>
          </w:p>
        </w:tc>
        <w:tc>
          <w:tcPr>
            <w:tcW w:w="3880" w:type="dxa"/>
            <w:vAlign w:val="bottom"/>
            <w:tcBorders>
              <w:top w:val="single" w:sz="8" w:color="auto"/>
            </w:tcBorders>
            <w:gridSpan w:val="13"/>
          </w:tcPr>
          <w:p>
            <w:pPr>
              <w:spacing w:after="0" w:line="115" w:lineRule="exact"/>
              <w:rPr>
                <w:rFonts w:ascii="Arial" w:cs="Arial" w:eastAsia="Arial" w:hAnsi="Arial"/>
                <w:sz w:val="13"/>
                <w:szCs w:val="13"/>
                <w:color w:val="auto"/>
                <w:w w:val="99"/>
              </w:rPr>
            </w:pPr>
            <w:hyperlink r:id="rId147">
              <w:r>
                <w:rPr>
                  <w:rFonts w:ascii="Arial" w:cs="Arial" w:eastAsia="Arial" w:hAnsi="Arial"/>
                  <w:sz w:val="13"/>
                  <w:szCs w:val="13"/>
                  <w:color w:val="auto"/>
                  <w:w w:val="99"/>
                </w:rPr>
                <w:t>salesforce.com, inc. and Salesforce Ventures LLC, dated as of April</w:t>
              </w:r>
            </w:hyperlink>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15"/>
        </w:trPr>
        <w:tc>
          <w:tcPr>
            <w:tcW w:w="1160" w:type="dxa"/>
            <w:vAlign w:val="bottom"/>
          </w:tcPr>
          <w:p>
            <w:pPr>
              <w:spacing w:after="0"/>
              <w:rPr>
                <w:sz w:val="10"/>
                <w:szCs w:val="10"/>
                <w:color w:val="auto"/>
              </w:rPr>
            </w:pPr>
          </w:p>
        </w:tc>
        <w:tc>
          <w:tcPr>
            <w:tcW w:w="460" w:type="dxa"/>
            <w:vAlign w:val="bottom"/>
            <w:tcBorders>
              <w:top w:val="single" w:sz="8" w:color="auto"/>
              <w:bottom w:val="single" w:sz="8" w:color="auto"/>
            </w:tcBorders>
            <w:gridSpan w:val="2"/>
          </w:tcPr>
          <w:p>
            <w:pPr>
              <w:spacing w:after="0" w:line="115" w:lineRule="exact"/>
              <w:rPr>
                <w:rFonts w:ascii="Arial" w:cs="Arial" w:eastAsia="Arial" w:hAnsi="Arial"/>
                <w:sz w:val="13"/>
                <w:szCs w:val="13"/>
                <w:color w:val="auto"/>
                <w:w w:val="93"/>
              </w:rPr>
            </w:pPr>
            <w:hyperlink r:id="rId147">
              <w:r>
                <w:rPr>
                  <w:rFonts w:ascii="Arial" w:cs="Arial" w:eastAsia="Arial" w:hAnsi="Arial"/>
                  <w:sz w:val="13"/>
                  <w:szCs w:val="13"/>
                  <w:color w:val="auto"/>
                  <w:w w:val="93"/>
                </w:rPr>
                <w:t>5, 2019.</w:t>
              </w:r>
            </w:hyperlink>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98"/>
        </w:trPr>
        <w:tc>
          <w:tcPr>
            <w:tcW w:w="1160" w:type="dxa"/>
            <w:vAlign w:val="bottom"/>
          </w:tcPr>
          <w:p>
            <w:pPr>
              <w:spacing w:after="0"/>
              <w:rPr>
                <w:sz w:val="20"/>
                <w:szCs w:val="20"/>
                <w:color w:val="auto"/>
              </w:rPr>
            </w:pPr>
            <w:r>
              <w:rPr>
                <w:rFonts w:ascii="Arial" w:cs="Arial" w:eastAsia="Arial" w:hAnsi="Arial"/>
                <w:sz w:val="14"/>
                <w:szCs w:val="14"/>
                <w:color w:val="auto"/>
              </w:rPr>
              <w:t>21.1</w:t>
            </w:r>
          </w:p>
        </w:tc>
        <w:tc>
          <w:tcPr>
            <w:tcW w:w="4040" w:type="dxa"/>
            <w:vAlign w:val="bottom"/>
            <w:gridSpan w:val="17"/>
          </w:tcPr>
          <w:p>
            <w:pPr>
              <w:spacing w:after="0"/>
              <w:rPr>
                <w:rFonts w:ascii="Arial" w:cs="Arial" w:eastAsia="Arial" w:hAnsi="Arial"/>
                <w:sz w:val="14"/>
                <w:szCs w:val="14"/>
                <w:u w:val="single" w:color="auto"/>
                <w:color w:val="0000FF"/>
              </w:rPr>
            </w:pPr>
            <w:hyperlink w:anchor="page118">
              <w:r>
                <w:rPr>
                  <w:rFonts w:ascii="Arial" w:cs="Arial" w:eastAsia="Arial" w:hAnsi="Arial"/>
                  <w:sz w:val="14"/>
                  <w:szCs w:val="14"/>
                  <w:u w:val="single" w:color="auto"/>
                  <w:color w:val="0000FF"/>
                </w:rPr>
                <w:t>List of subsidiaries of the Registrant.</w:t>
              </w:r>
            </w:hyperlink>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60"/>
        </w:trPr>
        <w:tc>
          <w:tcPr>
            <w:tcW w:w="1160" w:type="dxa"/>
            <w:vAlign w:val="bottom"/>
          </w:tcPr>
          <w:p>
            <w:pPr>
              <w:spacing w:after="0"/>
              <w:rPr>
                <w:sz w:val="20"/>
                <w:szCs w:val="20"/>
                <w:color w:val="auto"/>
              </w:rPr>
            </w:pPr>
            <w:r>
              <w:rPr>
                <w:rFonts w:ascii="Arial" w:cs="Arial" w:eastAsia="Arial" w:hAnsi="Arial"/>
                <w:sz w:val="14"/>
                <w:szCs w:val="14"/>
                <w:color w:val="auto"/>
              </w:rPr>
              <w:t>23.1</w:t>
            </w:r>
          </w:p>
        </w:tc>
        <w:tc>
          <w:tcPr>
            <w:tcW w:w="4040" w:type="dxa"/>
            <w:vAlign w:val="bottom"/>
            <w:gridSpan w:val="17"/>
          </w:tcPr>
          <w:p>
            <w:pPr>
              <w:spacing w:after="0"/>
              <w:rPr>
                <w:rFonts w:ascii="Arial" w:cs="Arial" w:eastAsia="Arial" w:hAnsi="Arial"/>
                <w:sz w:val="14"/>
                <w:szCs w:val="14"/>
                <w:color w:val="0000FF"/>
                <w:w w:val="99"/>
              </w:rPr>
            </w:pPr>
            <w:hyperlink w:anchor="page119">
              <w:r>
                <w:rPr>
                  <w:rFonts w:ascii="Arial" w:cs="Arial" w:eastAsia="Arial" w:hAnsi="Arial"/>
                  <w:sz w:val="14"/>
                  <w:szCs w:val="14"/>
                  <w:color w:val="0000FF"/>
                  <w:w w:val="99"/>
                </w:rPr>
                <w:t>Consent of KPMG LLP, independent registered public accounting</w:t>
              </w:r>
            </w:hyperlink>
          </w:p>
        </w:tc>
        <w:tc>
          <w:tcPr>
            <w:tcW w:w="10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15"/>
        </w:trPr>
        <w:tc>
          <w:tcPr>
            <w:tcW w:w="116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15" w:lineRule="exact"/>
              <w:rPr>
                <w:rFonts w:ascii="Arial" w:cs="Arial" w:eastAsia="Arial" w:hAnsi="Arial"/>
                <w:sz w:val="13"/>
                <w:szCs w:val="13"/>
                <w:color w:val="0000FF"/>
              </w:rPr>
            </w:pPr>
            <w:hyperlink w:anchor="page119">
              <w:r>
                <w:rPr>
                  <w:rFonts w:ascii="Arial" w:cs="Arial" w:eastAsia="Arial" w:hAnsi="Arial"/>
                  <w:sz w:val="13"/>
                  <w:szCs w:val="13"/>
                  <w:color w:val="0000FF"/>
                </w:rPr>
                <w:t>firm.</w:t>
              </w:r>
            </w:hyperlink>
          </w:p>
        </w:tc>
        <w:tc>
          <w:tcPr>
            <w:tcW w:w="3520" w:type="dxa"/>
            <w:vAlign w:val="bottom"/>
            <w:tcBorders>
              <w:top w:val="single" w:sz="8" w:color="0000FF"/>
            </w:tcBorders>
            <w:gridSpan w:val="8"/>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98"/>
        </w:trPr>
        <w:tc>
          <w:tcPr>
            <w:tcW w:w="1160" w:type="dxa"/>
            <w:vAlign w:val="bottom"/>
          </w:tcPr>
          <w:p>
            <w:pPr>
              <w:spacing w:after="0"/>
              <w:rPr>
                <w:sz w:val="20"/>
                <w:szCs w:val="20"/>
                <w:color w:val="auto"/>
              </w:rPr>
            </w:pPr>
            <w:r>
              <w:rPr>
                <w:rFonts w:ascii="Arial" w:cs="Arial" w:eastAsia="Arial" w:hAnsi="Arial"/>
                <w:sz w:val="14"/>
                <w:szCs w:val="14"/>
                <w:color w:val="auto"/>
              </w:rPr>
              <w:t>24.1</w:t>
            </w:r>
          </w:p>
        </w:tc>
        <w:tc>
          <w:tcPr>
            <w:tcW w:w="4040" w:type="dxa"/>
            <w:vAlign w:val="bottom"/>
            <w:gridSpan w:val="17"/>
          </w:tcPr>
          <w:p>
            <w:pPr>
              <w:spacing w:after="0"/>
              <w:rPr>
                <w:rFonts w:ascii="Arial" w:cs="Arial" w:eastAsia="Arial" w:hAnsi="Arial"/>
                <w:sz w:val="14"/>
                <w:szCs w:val="14"/>
                <w:u w:val="single" w:color="auto"/>
                <w:color w:val="0000FF"/>
                <w:w w:val="95"/>
              </w:rPr>
            </w:pPr>
            <w:hyperlink w:anchor="page99">
              <w:r>
                <w:rPr>
                  <w:rFonts w:ascii="Arial" w:cs="Arial" w:eastAsia="Arial" w:hAnsi="Arial"/>
                  <w:sz w:val="14"/>
                  <w:szCs w:val="14"/>
                  <w:u w:val="single" w:color="auto"/>
                  <w:color w:val="0000FF"/>
                  <w:w w:val="95"/>
                </w:rPr>
                <w:t>Power of Attorney (reference is made to the signature page hereto).</w:t>
              </w:r>
            </w:hyperlink>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60"/>
        </w:trPr>
        <w:tc>
          <w:tcPr>
            <w:tcW w:w="1160" w:type="dxa"/>
            <w:vAlign w:val="bottom"/>
          </w:tcPr>
          <w:p>
            <w:pPr>
              <w:spacing w:after="0"/>
              <w:rPr>
                <w:sz w:val="20"/>
                <w:szCs w:val="20"/>
                <w:color w:val="auto"/>
              </w:rPr>
            </w:pPr>
            <w:r>
              <w:rPr>
                <w:rFonts w:ascii="Arial" w:cs="Arial" w:eastAsia="Arial" w:hAnsi="Arial"/>
                <w:sz w:val="14"/>
                <w:szCs w:val="14"/>
                <w:color w:val="auto"/>
              </w:rPr>
              <w:t>31.1</w:t>
            </w:r>
          </w:p>
        </w:tc>
        <w:tc>
          <w:tcPr>
            <w:tcW w:w="4040" w:type="dxa"/>
            <w:vAlign w:val="bottom"/>
            <w:gridSpan w:val="17"/>
          </w:tcPr>
          <w:p>
            <w:pPr>
              <w:spacing w:after="0"/>
              <w:rPr>
                <w:rFonts w:ascii="Arial" w:cs="Arial" w:eastAsia="Arial" w:hAnsi="Arial"/>
                <w:sz w:val="14"/>
                <w:szCs w:val="14"/>
                <w:color w:val="0000FF"/>
              </w:rPr>
            </w:pPr>
            <w:hyperlink w:anchor="page120">
              <w:r>
                <w:rPr>
                  <w:rFonts w:ascii="Arial" w:cs="Arial" w:eastAsia="Arial" w:hAnsi="Arial"/>
                  <w:sz w:val="14"/>
                  <w:szCs w:val="14"/>
                  <w:color w:val="0000FF"/>
                </w:rPr>
                <w:t>Certification of Chief Executive Officer pursuant to Exchange Act</w:t>
              </w:r>
            </w:hyperlink>
          </w:p>
        </w:tc>
        <w:tc>
          <w:tcPr>
            <w:tcW w:w="10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15"/>
        </w:trPr>
        <w:tc>
          <w:tcPr>
            <w:tcW w:w="1160" w:type="dxa"/>
            <w:vAlign w:val="bottom"/>
          </w:tcPr>
          <w:p>
            <w:pPr>
              <w:spacing w:after="0"/>
              <w:rPr>
                <w:sz w:val="10"/>
                <w:szCs w:val="10"/>
                <w:color w:val="auto"/>
              </w:rPr>
            </w:pPr>
          </w:p>
        </w:tc>
        <w:tc>
          <w:tcPr>
            <w:tcW w:w="3840" w:type="dxa"/>
            <w:vAlign w:val="bottom"/>
            <w:tcBorders>
              <w:top w:val="single" w:sz="8" w:color="0000FF"/>
              <w:bottom w:val="single" w:sz="8" w:color="0000FF"/>
            </w:tcBorders>
            <w:gridSpan w:val="11"/>
          </w:tcPr>
          <w:p>
            <w:pPr>
              <w:spacing w:after="0" w:line="115" w:lineRule="exact"/>
              <w:rPr>
                <w:rFonts w:ascii="Arial" w:cs="Arial" w:eastAsia="Arial" w:hAnsi="Arial"/>
                <w:sz w:val="13"/>
                <w:szCs w:val="13"/>
                <w:color w:val="0000FF"/>
                <w:w w:val="97"/>
              </w:rPr>
            </w:pPr>
            <w:hyperlink w:anchor="page120">
              <w:r>
                <w:rPr>
                  <w:rFonts w:ascii="Arial" w:cs="Arial" w:eastAsia="Arial" w:hAnsi="Arial"/>
                  <w:sz w:val="13"/>
                  <w:szCs w:val="13"/>
                  <w:color w:val="0000FF"/>
                  <w:w w:val="97"/>
                </w:rPr>
                <w:t>Rules 13a-14(a) and 15d-14(a), as adopted pursuant to Section 302</w:t>
              </w:r>
            </w:hyperlink>
          </w:p>
        </w:tc>
        <w:tc>
          <w:tcPr>
            <w:tcW w:w="20" w:type="dxa"/>
            <w:vAlign w:val="bottom"/>
            <w:tcBorders>
              <w:bottom w:val="single" w:sz="8" w:color="0000FF"/>
            </w:tcBorders>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15"/>
        </w:trPr>
        <w:tc>
          <w:tcPr>
            <w:tcW w:w="1160" w:type="dxa"/>
            <w:vAlign w:val="bottom"/>
          </w:tcPr>
          <w:p>
            <w:pPr>
              <w:spacing w:after="0"/>
              <w:rPr>
                <w:sz w:val="10"/>
                <w:szCs w:val="10"/>
                <w:color w:val="auto"/>
              </w:rPr>
            </w:pPr>
          </w:p>
        </w:tc>
        <w:tc>
          <w:tcPr>
            <w:tcW w:w="2040" w:type="dxa"/>
            <w:vAlign w:val="bottom"/>
            <w:tcBorders>
              <w:bottom w:val="single" w:sz="8" w:color="0000FF"/>
            </w:tcBorders>
            <w:gridSpan w:val="5"/>
          </w:tcPr>
          <w:p>
            <w:pPr>
              <w:spacing w:after="0" w:line="115" w:lineRule="exact"/>
              <w:rPr>
                <w:rFonts w:ascii="Arial" w:cs="Arial" w:eastAsia="Arial" w:hAnsi="Arial"/>
                <w:sz w:val="13"/>
                <w:szCs w:val="13"/>
                <w:color w:val="0000FF"/>
                <w:w w:val="99"/>
              </w:rPr>
            </w:pPr>
            <w:hyperlink w:anchor="page120">
              <w:r>
                <w:rPr>
                  <w:rFonts w:ascii="Arial" w:cs="Arial" w:eastAsia="Arial" w:hAnsi="Arial"/>
                  <w:sz w:val="13"/>
                  <w:szCs w:val="13"/>
                  <w:color w:val="0000FF"/>
                  <w:w w:val="99"/>
                </w:rPr>
                <w:t>of the Sarbanes-Oxley Act of 2002.</w:t>
              </w:r>
            </w:hyperlink>
          </w:p>
        </w:tc>
        <w:tc>
          <w:tcPr>
            <w:tcW w:w="1820" w:type="dxa"/>
            <w:vAlign w:val="bottom"/>
            <w:gridSpan w:val="7"/>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31.2</w:t>
            </w:r>
          </w:p>
        </w:tc>
        <w:tc>
          <w:tcPr>
            <w:tcW w:w="3780" w:type="dxa"/>
            <w:vAlign w:val="bottom"/>
            <w:tcBorders>
              <w:bottom w:val="single" w:sz="8" w:color="0000FF"/>
            </w:tcBorders>
            <w:gridSpan w:val="8"/>
          </w:tcPr>
          <w:p>
            <w:pPr>
              <w:spacing w:after="0"/>
              <w:rPr>
                <w:rFonts w:ascii="Arial" w:cs="Arial" w:eastAsia="Arial" w:hAnsi="Arial"/>
                <w:sz w:val="14"/>
                <w:szCs w:val="14"/>
                <w:color w:val="0000FF"/>
                <w:w w:val="95"/>
              </w:rPr>
            </w:pPr>
            <w:hyperlink w:anchor="page121">
              <w:r>
                <w:rPr>
                  <w:rFonts w:ascii="Arial" w:cs="Arial" w:eastAsia="Arial" w:hAnsi="Arial"/>
                  <w:sz w:val="14"/>
                  <w:szCs w:val="14"/>
                  <w:color w:val="0000FF"/>
                  <w:w w:val="95"/>
                </w:rPr>
                <w:t>Certification of Chief Financial Officer pursuant to Exchange Act</w:t>
              </w:r>
            </w:hyperlink>
          </w:p>
        </w:tc>
        <w:tc>
          <w:tcPr>
            <w:tcW w:w="260" w:type="dxa"/>
            <w:vAlign w:val="bottom"/>
            <w:gridSpan w:val="9"/>
          </w:tcPr>
          <w:p>
            <w:pPr>
              <w:spacing w:after="0"/>
              <w:rPr>
                <w:sz w:val="14"/>
                <w:szCs w:val="14"/>
                <w:color w:val="auto"/>
              </w:rPr>
            </w:pPr>
          </w:p>
        </w:tc>
        <w:tc>
          <w:tcPr>
            <w:tcW w:w="1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15"/>
        </w:trPr>
        <w:tc>
          <w:tcPr>
            <w:tcW w:w="1160" w:type="dxa"/>
            <w:vAlign w:val="bottom"/>
          </w:tcPr>
          <w:p>
            <w:pPr>
              <w:spacing w:after="0"/>
              <w:rPr>
                <w:sz w:val="10"/>
                <w:szCs w:val="10"/>
                <w:color w:val="auto"/>
              </w:rPr>
            </w:pPr>
          </w:p>
        </w:tc>
        <w:tc>
          <w:tcPr>
            <w:tcW w:w="4040" w:type="dxa"/>
            <w:vAlign w:val="bottom"/>
            <w:gridSpan w:val="17"/>
          </w:tcPr>
          <w:p>
            <w:pPr>
              <w:spacing w:after="0" w:line="115" w:lineRule="exact"/>
              <w:rPr>
                <w:rFonts w:ascii="Arial" w:cs="Arial" w:eastAsia="Arial" w:hAnsi="Arial"/>
                <w:sz w:val="13"/>
                <w:szCs w:val="13"/>
                <w:color w:val="0000FF"/>
              </w:rPr>
            </w:pPr>
            <w:hyperlink w:anchor="page121">
              <w:r>
                <w:rPr>
                  <w:rFonts w:ascii="Arial" w:cs="Arial" w:eastAsia="Arial" w:hAnsi="Arial"/>
                  <w:sz w:val="13"/>
                  <w:szCs w:val="13"/>
                  <w:color w:val="0000FF"/>
                </w:rPr>
                <w:t>Rules 13a-14(a) and 15d-14(a), as adopted pursuant to Section 302</w:t>
              </w:r>
            </w:hyperlink>
          </w:p>
        </w:tc>
        <w:tc>
          <w:tcPr>
            <w:tcW w:w="1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15"/>
        </w:trPr>
        <w:tc>
          <w:tcPr>
            <w:tcW w:w="1160" w:type="dxa"/>
            <w:vAlign w:val="bottom"/>
          </w:tcPr>
          <w:p>
            <w:pPr>
              <w:spacing w:after="0"/>
              <w:rPr>
                <w:sz w:val="10"/>
                <w:szCs w:val="10"/>
                <w:color w:val="auto"/>
              </w:rPr>
            </w:pPr>
          </w:p>
        </w:tc>
        <w:tc>
          <w:tcPr>
            <w:tcW w:w="2040" w:type="dxa"/>
            <w:vAlign w:val="bottom"/>
            <w:tcBorders>
              <w:top w:val="single" w:sz="8" w:color="0000FF"/>
              <w:bottom w:val="single" w:sz="8" w:color="0000FF"/>
            </w:tcBorders>
            <w:gridSpan w:val="5"/>
          </w:tcPr>
          <w:p>
            <w:pPr>
              <w:spacing w:after="0" w:line="115" w:lineRule="exact"/>
              <w:rPr>
                <w:rFonts w:ascii="Arial" w:cs="Arial" w:eastAsia="Arial" w:hAnsi="Arial"/>
                <w:sz w:val="13"/>
                <w:szCs w:val="13"/>
                <w:color w:val="0000FF"/>
                <w:w w:val="99"/>
              </w:rPr>
            </w:pPr>
            <w:hyperlink w:anchor="page121">
              <w:r>
                <w:rPr>
                  <w:rFonts w:ascii="Arial" w:cs="Arial" w:eastAsia="Arial" w:hAnsi="Arial"/>
                  <w:sz w:val="13"/>
                  <w:szCs w:val="13"/>
                  <w:color w:val="0000FF"/>
                  <w:w w:val="99"/>
                </w:rPr>
                <w:t>of the Sarbanes-Oxley Act of 2002.</w:t>
              </w:r>
            </w:hyperlink>
          </w:p>
        </w:tc>
        <w:tc>
          <w:tcPr>
            <w:tcW w:w="1820" w:type="dxa"/>
            <w:vAlign w:val="bottom"/>
            <w:tcBorders>
              <w:top w:val="single" w:sz="8" w:color="0000FF"/>
            </w:tcBorders>
            <w:gridSpan w:val="7"/>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69"/>
        </w:trPr>
        <w:tc>
          <w:tcPr>
            <w:tcW w:w="1160" w:type="dxa"/>
            <w:vAlign w:val="bottom"/>
          </w:tcPr>
          <w:p>
            <w:pPr>
              <w:spacing w:after="0"/>
              <w:rPr>
                <w:sz w:val="20"/>
                <w:szCs w:val="20"/>
                <w:color w:val="auto"/>
              </w:rPr>
            </w:pPr>
            <w:r>
              <w:rPr>
                <w:rFonts w:ascii="Arial" w:cs="Arial" w:eastAsia="Arial" w:hAnsi="Arial"/>
                <w:sz w:val="14"/>
                <w:szCs w:val="14"/>
                <w:color w:val="auto"/>
              </w:rPr>
              <w:t>32.1†</w:t>
            </w:r>
          </w:p>
        </w:tc>
        <w:tc>
          <w:tcPr>
            <w:tcW w:w="4040" w:type="dxa"/>
            <w:vAlign w:val="bottom"/>
            <w:gridSpan w:val="17"/>
          </w:tcPr>
          <w:p>
            <w:pPr>
              <w:spacing w:after="0"/>
              <w:rPr>
                <w:rFonts w:ascii="Arial" w:cs="Arial" w:eastAsia="Arial" w:hAnsi="Arial"/>
                <w:sz w:val="14"/>
                <w:szCs w:val="14"/>
                <w:color w:val="0000FF"/>
                <w:w w:val="97"/>
              </w:rPr>
            </w:pPr>
            <w:hyperlink w:anchor="page123">
              <w:r>
                <w:rPr>
                  <w:rFonts w:ascii="Arial" w:cs="Arial" w:eastAsia="Arial" w:hAnsi="Arial"/>
                  <w:sz w:val="14"/>
                  <w:szCs w:val="14"/>
                  <w:color w:val="0000FF"/>
                  <w:w w:val="97"/>
                </w:rPr>
                <w:t>Certifications of Chief Executive Officer and Chief Financial Officer</w:t>
              </w:r>
            </w:hyperlink>
          </w:p>
        </w:tc>
        <w:tc>
          <w:tcPr>
            <w:tcW w:w="1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15"/>
        </w:trPr>
        <w:tc>
          <w:tcPr>
            <w:tcW w:w="1160" w:type="dxa"/>
            <w:vAlign w:val="bottom"/>
          </w:tcPr>
          <w:p>
            <w:pPr>
              <w:spacing w:after="0"/>
              <w:rPr>
                <w:sz w:val="10"/>
                <w:szCs w:val="10"/>
                <w:color w:val="auto"/>
              </w:rPr>
            </w:pPr>
          </w:p>
        </w:tc>
        <w:tc>
          <w:tcPr>
            <w:tcW w:w="3960" w:type="dxa"/>
            <w:vAlign w:val="bottom"/>
            <w:tcBorders>
              <w:top w:val="single" w:sz="8" w:color="0000FF"/>
            </w:tcBorders>
            <w:gridSpan w:val="16"/>
          </w:tcPr>
          <w:p>
            <w:pPr>
              <w:spacing w:after="0" w:line="115" w:lineRule="exact"/>
              <w:rPr>
                <w:rFonts w:ascii="Arial" w:cs="Arial" w:eastAsia="Arial" w:hAnsi="Arial"/>
                <w:sz w:val="13"/>
                <w:szCs w:val="13"/>
                <w:color w:val="0000FF"/>
              </w:rPr>
            </w:pPr>
            <w:hyperlink w:anchor="page123">
              <w:r>
                <w:rPr>
                  <w:rFonts w:ascii="Arial" w:cs="Arial" w:eastAsia="Arial" w:hAnsi="Arial"/>
                  <w:sz w:val="13"/>
                  <w:szCs w:val="13"/>
                  <w:color w:val="0000FF"/>
                </w:rPr>
                <w:t>pursuant to 18 U.S.C. Section 1350, as adopted pursuant to Section</w:t>
              </w:r>
            </w:hyperlink>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15"/>
        </w:trPr>
        <w:tc>
          <w:tcPr>
            <w:tcW w:w="1160" w:type="dxa"/>
            <w:vAlign w:val="bottom"/>
          </w:tcPr>
          <w:p>
            <w:pPr>
              <w:spacing w:after="0"/>
              <w:rPr>
                <w:sz w:val="10"/>
                <w:szCs w:val="10"/>
                <w:color w:val="auto"/>
              </w:rPr>
            </w:pPr>
          </w:p>
        </w:tc>
        <w:tc>
          <w:tcPr>
            <w:tcW w:w="2300" w:type="dxa"/>
            <w:vAlign w:val="bottom"/>
            <w:tcBorders>
              <w:top w:val="single" w:sz="8" w:color="0000FF"/>
              <w:bottom w:val="single" w:sz="8" w:color="0000FF"/>
            </w:tcBorders>
            <w:gridSpan w:val="6"/>
          </w:tcPr>
          <w:p>
            <w:pPr>
              <w:spacing w:after="0" w:line="115" w:lineRule="exact"/>
              <w:rPr>
                <w:rFonts w:ascii="Arial" w:cs="Arial" w:eastAsia="Arial" w:hAnsi="Arial"/>
                <w:sz w:val="13"/>
                <w:szCs w:val="13"/>
                <w:color w:val="0000FF"/>
              </w:rPr>
            </w:pPr>
            <w:hyperlink w:anchor="page123">
              <w:r>
                <w:rPr>
                  <w:rFonts w:ascii="Arial" w:cs="Arial" w:eastAsia="Arial" w:hAnsi="Arial"/>
                  <w:sz w:val="13"/>
                  <w:szCs w:val="13"/>
                  <w:color w:val="0000FF"/>
                </w:rPr>
                <w:t>906 of the Sarbanes-Oxley Act of 2002.</w:t>
              </w:r>
            </w:hyperlink>
          </w:p>
        </w:tc>
        <w:tc>
          <w:tcPr>
            <w:tcW w:w="1600" w:type="dxa"/>
            <w:vAlign w:val="bottom"/>
            <w:tcBorders>
              <w:top w:val="single" w:sz="8" w:color="0000FF"/>
            </w:tcBorders>
            <w:gridSpan w:val="8"/>
          </w:tcPr>
          <w:p>
            <w:pPr>
              <w:spacing w:after="0"/>
              <w:rPr>
                <w:sz w:val="10"/>
                <w:szCs w:val="10"/>
                <w:color w:val="auto"/>
              </w:rPr>
            </w:pPr>
          </w:p>
        </w:tc>
        <w:tc>
          <w:tcPr>
            <w:tcW w:w="140" w:type="dxa"/>
            <w:vAlign w:val="bottom"/>
            <w:gridSpan w:val="3"/>
          </w:tcPr>
          <w:p>
            <w:pPr>
              <w:spacing w:after="0"/>
              <w:rPr>
                <w:sz w:val="10"/>
                <w:szCs w:val="10"/>
                <w:color w:val="auto"/>
              </w:rPr>
            </w:pPr>
          </w:p>
        </w:tc>
        <w:tc>
          <w:tcPr>
            <w:tcW w:w="10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98"/>
        </w:trPr>
        <w:tc>
          <w:tcPr>
            <w:tcW w:w="1160" w:type="dxa"/>
            <w:vAlign w:val="bottom"/>
          </w:tcPr>
          <w:p>
            <w:pPr>
              <w:spacing w:after="0"/>
              <w:rPr>
                <w:sz w:val="20"/>
                <w:szCs w:val="20"/>
                <w:color w:val="auto"/>
              </w:rPr>
            </w:pPr>
            <w:r>
              <w:rPr>
                <w:rFonts w:ascii="Arial" w:cs="Arial" w:eastAsia="Arial" w:hAnsi="Arial"/>
                <w:sz w:val="14"/>
                <w:szCs w:val="14"/>
                <w:color w:val="auto"/>
              </w:rPr>
              <w:t>101.INS</w:t>
            </w:r>
          </w:p>
        </w:tc>
        <w:tc>
          <w:tcPr>
            <w:tcW w:w="4040" w:type="dxa"/>
            <w:vAlign w:val="bottom"/>
            <w:gridSpan w:val="17"/>
          </w:tcPr>
          <w:p>
            <w:pPr>
              <w:spacing w:after="0"/>
              <w:rPr>
                <w:sz w:val="20"/>
                <w:szCs w:val="20"/>
                <w:color w:val="auto"/>
              </w:rPr>
            </w:pPr>
            <w:r>
              <w:rPr>
                <w:rFonts w:ascii="Arial" w:cs="Arial" w:eastAsia="Arial" w:hAnsi="Arial"/>
                <w:sz w:val="14"/>
                <w:szCs w:val="14"/>
                <w:color w:val="auto"/>
              </w:rPr>
              <w:t>XBRL Instance Document</w:t>
            </w:r>
          </w:p>
        </w:tc>
        <w:tc>
          <w:tcPr>
            <w:tcW w:w="1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89"/>
        </w:trPr>
        <w:tc>
          <w:tcPr>
            <w:tcW w:w="1160" w:type="dxa"/>
            <w:vAlign w:val="bottom"/>
          </w:tcPr>
          <w:p>
            <w:pPr>
              <w:spacing w:after="0"/>
              <w:rPr>
                <w:sz w:val="20"/>
                <w:szCs w:val="20"/>
                <w:color w:val="auto"/>
              </w:rPr>
            </w:pPr>
            <w:r>
              <w:rPr>
                <w:rFonts w:ascii="Arial" w:cs="Arial" w:eastAsia="Arial" w:hAnsi="Arial"/>
                <w:sz w:val="14"/>
                <w:szCs w:val="14"/>
                <w:color w:val="auto"/>
              </w:rPr>
              <w:t>101.SCH</w:t>
            </w:r>
          </w:p>
        </w:tc>
        <w:tc>
          <w:tcPr>
            <w:tcW w:w="4040" w:type="dxa"/>
            <w:vAlign w:val="bottom"/>
            <w:gridSpan w:val="17"/>
          </w:tcPr>
          <w:p>
            <w:pPr>
              <w:spacing w:after="0"/>
              <w:rPr>
                <w:sz w:val="20"/>
                <w:szCs w:val="20"/>
                <w:color w:val="auto"/>
              </w:rPr>
            </w:pPr>
            <w:r>
              <w:rPr>
                <w:rFonts w:ascii="Arial" w:cs="Arial" w:eastAsia="Arial" w:hAnsi="Arial"/>
                <w:sz w:val="14"/>
                <w:szCs w:val="14"/>
                <w:color w:val="auto"/>
              </w:rPr>
              <w:t>XBRL Taxonomy Extension Schema Document</w:t>
            </w:r>
          </w:p>
        </w:tc>
        <w:tc>
          <w:tcPr>
            <w:tcW w:w="1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160" w:type="dxa"/>
            <w:vAlign w:val="bottom"/>
          </w:tcPr>
          <w:p>
            <w:pPr>
              <w:spacing w:after="0"/>
              <w:rPr>
                <w:sz w:val="20"/>
                <w:szCs w:val="20"/>
                <w:color w:val="auto"/>
              </w:rPr>
            </w:pPr>
            <w:r>
              <w:rPr>
                <w:rFonts w:ascii="Arial" w:cs="Arial" w:eastAsia="Arial" w:hAnsi="Arial"/>
                <w:sz w:val="14"/>
                <w:szCs w:val="14"/>
                <w:color w:val="auto"/>
              </w:rPr>
              <w:t>101.CAL</w:t>
            </w:r>
          </w:p>
        </w:tc>
        <w:tc>
          <w:tcPr>
            <w:tcW w:w="4040" w:type="dxa"/>
            <w:vAlign w:val="bottom"/>
            <w:gridSpan w:val="17"/>
          </w:tcPr>
          <w:p>
            <w:pPr>
              <w:spacing w:after="0"/>
              <w:rPr>
                <w:sz w:val="20"/>
                <w:szCs w:val="20"/>
                <w:color w:val="auto"/>
              </w:rPr>
            </w:pPr>
            <w:r>
              <w:rPr>
                <w:rFonts w:ascii="Arial" w:cs="Arial" w:eastAsia="Arial" w:hAnsi="Arial"/>
                <w:sz w:val="14"/>
                <w:szCs w:val="14"/>
                <w:color w:val="auto"/>
              </w:rPr>
              <w:t>XBRL Taxonomy Extension Calculation Linkbase Document</w:t>
            </w:r>
          </w:p>
        </w:tc>
        <w:tc>
          <w:tcPr>
            <w:tcW w:w="1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160" w:type="dxa"/>
            <w:vAlign w:val="bottom"/>
          </w:tcPr>
          <w:p>
            <w:pPr>
              <w:spacing w:after="0"/>
              <w:rPr>
                <w:sz w:val="20"/>
                <w:szCs w:val="20"/>
                <w:color w:val="auto"/>
              </w:rPr>
            </w:pPr>
            <w:r>
              <w:rPr>
                <w:rFonts w:ascii="Arial" w:cs="Arial" w:eastAsia="Arial" w:hAnsi="Arial"/>
                <w:sz w:val="14"/>
                <w:szCs w:val="14"/>
                <w:color w:val="auto"/>
              </w:rPr>
              <w:t>101.DEF</w:t>
            </w:r>
          </w:p>
        </w:tc>
        <w:tc>
          <w:tcPr>
            <w:tcW w:w="4040" w:type="dxa"/>
            <w:vAlign w:val="bottom"/>
            <w:gridSpan w:val="17"/>
          </w:tcPr>
          <w:p>
            <w:pPr>
              <w:spacing w:after="0"/>
              <w:rPr>
                <w:sz w:val="20"/>
                <w:szCs w:val="20"/>
                <w:color w:val="auto"/>
              </w:rPr>
            </w:pPr>
            <w:r>
              <w:rPr>
                <w:rFonts w:ascii="Arial" w:cs="Arial" w:eastAsia="Arial" w:hAnsi="Arial"/>
                <w:sz w:val="14"/>
                <w:szCs w:val="14"/>
                <w:color w:val="auto"/>
              </w:rPr>
              <w:t>XBRL Taxonomy Extension Definition Linkbase Document</w:t>
            </w:r>
          </w:p>
        </w:tc>
        <w:tc>
          <w:tcPr>
            <w:tcW w:w="1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160" w:type="dxa"/>
            <w:vAlign w:val="bottom"/>
          </w:tcPr>
          <w:p>
            <w:pPr>
              <w:spacing w:after="0"/>
              <w:rPr>
                <w:sz w:val="20"/>
                <w:szCs w:val="20"/>
                <w:color w:val="auto"/>
              </w:rPr>
            </w:pPr>
            <w:r>
              <w:rPr>
                <w:rFonts w:ascii="Arial" w:cs="Arial" w:eastAsia="Arial" w:hAnsi="Arial"/>
                <w:sz w:val="14"/>
                <w:szCs w:val="14"/>
                <w:color w:val="auto"/>
              </w:rPr>
              <w:t>101.LAB</w:t>
            </w:r>
          </w:p>
        </w:tc>
        <w:tc>
          <w:tcPr>
            <w:tcW w:w="4040" w:type="dxa"/>
            <w:vAlign w:val="bottom"/>
            <w:gridSpan w:val="17"/>
          </w:tcPr>
          <w:p>
            <w:pPr>
              <w:spacing w:after="0"/>
              <w:rPr>
                <w:sz w:val="20"/>
                <w:szCs w:val="20"/>
                <w:color w:val="auto"/>
              </w:rPr>
            </w:pPr>
            <w:r>
              <w:rPr>
                <w:rFonts w:ascii="Arial" w:cs="Arial" w:eastAsia="Arial" w:hAnsi="Arial"/>
                <w:sz w:val="14"/>
                <w:szCs w:val="14"/>
                <w:color w:val="auto"/>
              </w:rPr>
              <w:t>XBRL Taxonomy Extension Label Linkbase Document</w:t>
            </w:r>
          </w:p>
        </w:tc>
        <w:tc>
          <w:tcPr>
            <w:tcW w:w="1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9"/>
        </w:trPr>
        <w:tc>
          <w:tcPr>
            <w:tcW w:w="1160" w:type="dxa"/>
            <w:vAlign w:val="bottom"/>
          </w:tcPr>
          <w:p>
            <w:pPr>
              <w:spacing w:after="0"/>
              <w:rPr>
                <w:sz w:val="20"/>
                <w:szCs w:val="20"/>
                <w:color w:val="auto"/>
              </w:rPr>
            </w:pPr>
            <w:r>
              <w:rPr>
                <w:rFonts w:ascii="Arial" w:cs="Arial" w:eastAsia="Arial" w:hAnsi="Arial"/>
                <w:sz w:val="14"/>
                <w:szCs w:val="14"/>
                <w:color w:val="auto"/>
              </w:rPr>
              <w:t>101.PRE</w:t>
            </w:r>
          </w:p>
        </w:tc>
        <w:tc>
          <w:tcPr>
            <w:tcW w:w="4040" w:type="dxa"/>
            <w:vAlign w:val="bottom"/>
            <w:gridSpan w:val="17"/>
          </w:tcPr>
          <w:p>
            <w:pPr>
              <w:spacing w:after="0"/>
              <w:rPr>
                <w:sz w:val="20"/>
                <w:szCs w:val="20"/>
                <w:color w:val="auto"/>
              </w:rPr>
            </w:pPr>
            <w:r>
              <w:rPr>
                <w:rFonts w:ascii="Arial" w:cs="Arial" w:eastAsia="Arial" w:hAnsi="Arial"/>
                <w:sz w:val="14"/>
                <w:szCs w:val="14"/>
                <w:color w:val="auto"/>
              </w:rPr>
              <w:t>XBRL Taxonomy Extension Presentation Linkbase Document</w:t>
            </w:r>
          </w:p>
        </w:tc>
        <w:tc>
          <w:tcPr>
            <w:tcW w:w="1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r>
    </w:tbl>
    <w:p>
      <w:pPr>
        <w:spacing w:after="0" w:line="20" w:lineRule="exact"/>
        <w:rPr>
          <w:sz w:val="20"/>
          <w:szCs w:val="20"/>
          <w:color w:val="auto"/>
        </w:rPr>
      </w:pPr>
    </w:p>
    <w:p>
      <w:pPr>
        <w:ind w:left="1180" w:hanging="1154"/>
        <w:spacing w:after="0"/>
        <w:tabs>
          <w:tab w:leader="none" w:pos="1180" w:val="left"/>
        </w:tabs>
        <w:numPr>
          <w:ilvl w:val="1"/>
          <w:numId w:val="44"/>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w:t>
      </w:r>
    </w:p>
    <w:p>
      <w:pPr>
        <w:spacing w:after="0" w:line="136" w:lineRule="exact"/>
        <w:rPr>
          <w:rFonts w:ascii="Arial" w:cs="Arial" w:eastAsia="Arial" w:hAnsi="Arial"/>
          <w:sz w:val="14"/>
          <w:szCs w:val="14"/>
          <w:color w:val="auto"/>
        </w:rPr>
      </w:pPr>
    </w:p>
    <w:p>
      <w:pPr>
        <w:ind w:left="220" w:hanging="212"/>
        <w:spacing w:after="0"/>
        <w:tabs>
          <w:tab w:leader="none" w:pos="2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w:t>
      </w:r>
    </w:p>
    <w:p>
      <w:pPr>
        <w:spacing w:after="0" w:line="109" w:lineRule="exact"/>
        <w:rPr>
          <w:sz w:val="20"/>
          <w:szCs w:val="20"/>
          <w:color w:val="auto"/>
        </w:rPr>
      </w:pPr>
    </w:p>
    <w:p>
      <w:pPr>
        <w:ind w:left="660" w:hanging="652"/>
        <w:spacing w:after="0" w:line="257" w:lineRule="auto"/>
        <w:tabs>
          <w:tab w:leader="none" w:pos="33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Annual Report on Form 10-K are not deemed filed with the Securities and Exchange Commission and are not to be incorporated by reference into any filing of the Registrant under the Securities Act of 1933, as amended, or the Exchange Act,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table below details the activity of the accounts receivable allowances and deferred tax asset valuation allowance for the fiscal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2021, 2020, and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2"/>
          </w:tcPr>
          <w:p>
            <w:pPr>
              <w:ind w:left="360"/>
              <w:spacing w:after="0"/>
              <w:rPr>
                <w:sz w:val="20"/>
                <w:szCs w:val="20"/>
                <w:color w:val="auto"/>
              </w:rPr>
            </w:pPr>
            <w:r>
              <w:rPr>
                <w:rFonts w:ascii="Arial" w:cs="Arial" w:eastAsia="Arial" w:hAnsi="Arial"/>
                <w:sz w:val="14"/>
                <w:szCs w:val="14"/>
                <w:b w:val="1"/>
                <w:bCs w:val="1"/>
                <w:color w:val="auto"/>
              </w:rPr>
              <w:t>Balance at</w:t>
            </w:r>
          </w:p>
        </w:tc>
        <w:tc>
          <w:tcPr>
            <w:tcW w:w="360" w:type="dxa"/>
            <w:vAlign w:val="bottom"/>
          </w:tcPr>
          <w:p>
            <w:pPr>
              <w:spacing w:after="0"/>
              <w:rPr>
                <w:sz w:val="14"/>
                <w:szCs w:val="14"/>
                <w:color w:val="auto"/>
              </w:rPr>
            </w:pPr>
          </w:p>
        </w:tc>
        <w:tc>
          <w:tcPr>
            <w:tcW w:w="1540" w:type="dxa"/>
            <w:vAlign w:val="bottom"/>
            <w:vMerge w:val="restart"/>
          </w:tcPr>
          <w:p>
            <w:pPr>
              <w:jc w:val="right"/>
              <w:ind w:right="580"/>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w w:val="95"/>
              </w:rPr>
              <w:t>Write-offs or Deductions</w:t>
            </w:r>
          </w:p>
        </w:tc>
        <w:tc>
          <w:tcPr>
            <w:tcW w:w="10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jc w:val="right"/>
              <w:ind w:right="581"/>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Beginning of Year</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48"/>
        </w:trPr>
        <w:tc>
          <w:tcPr>
            <w:tcW w:w="3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40" w:type="dxa"/>
            <w:vAlign w:val="bottom"/>
            <w:gridSpan w:val="5"/>
          </w:tcPr>
          <w:p>
            <w:pPr>
              <w:ind w:left="110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January 31, 2021</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140"/>
              <w:spacing w:after="0"/>
              <w:rPr>
                <w:sz w:val="20"/>
                <w:szCs w:val="20"/>
                <w:color w:val="auto"/>
              </w:rPr>
            </w:pPr>
            <w:r>
              <w:rPr>
                <w:rFonts w:ascii="Arial" w:cs="Arial" w:eastAsia="Arial" w:hAnsi="Arial"/>
                <w:sz w:val="16"/>
                <w:szCs w:val="16"/>
                <w:color w:val="auto"/>
              </w:rPr>
              <w:t>Accounts receivable allowances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7,634</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47,405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(18,195)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36,844</w:t>
            </w: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asset valuation allowance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298,698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gridSpan w:val="2"/>
            <w:shd w:val="clear" w:color="auto" w:fill="CCEEFF"/>
          </w:tcPr>
          <w:p>
            <w:pPr>
              <w:ind w:left="15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335,051</w:t>
            </w: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Year ended January 31, 2020</w:t>
            </w: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allowances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7,634</w:t>
            </w:r>
          </w:p>
        </w:tc>
        <w:tc>
          <w:tcPr>
            <w:tcW w:w="0" w:type="dxa"/>
            <w:vAlign w:val="bottom"/>
          </w:tcPr>
          <w:p>
            <w:pPr>
              <w:spacing w:after="0"/>
              <w:rPr>
                <w:sz w:val="1"/>
                <w:szCs w:val="1"/>
                <w:color w:val="auto"/>
              </w:rPr>
            </w:pPr>
          </w:p>
        </w:tc>
      </w:tr>
      <w:tr>
        <w:trPr>
          <w:trHeight w:val="213"/>
        </w:trPr>
        <w:tc>
          <w:tcPr>
            <w:tcW w:w="3320" w:type="dxa"/>
            <w:vAlign w:val="bottom"/>
          </w:tcPr>
          <w:p>
            <w:pPr>
              <w:ind w:left="140"/>
              <w:spacing w:after="0"/>
              <w:rPr>
                <w:sz w:val="20"/>
                <w:szCs w:val="20"/>
                <w:color w:val="auto"/>
              </w:rPr>
            </w:pPr>
            <w:r>
              <w:rPr>
                <w:rFonts w:ascii="Arial" w:cs="Arial" w:eastAsia="Arial" w:hAnsi="Arial"/>
                <w:sz w:val="16"/>
                <w:szCs w:val="16"/>
                <w:color w:val="auto"/>
              </w:rPr>
              <w:t>Deferred tax asset valuation allowance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35,476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gridSpan w:val="2"/>
          </w:tcPr>
          <w:p>
            <w:pPr>
              <w:ind w:left="15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36,353</w:t>
            </w: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Year ended January 31, 2019</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140"/>
              <w:spacing w:after="0"/>
              <w:rPr>
                <w:sz w:val="20"/>
                <w:szCs w:val="20"/>
                <w:color w:val="auto"/>
              </w:rPr>
            </w:pPr>
            <w:r>
              <w:rPr>
                <w:rFonts w:ascii="Arial" w:cs="Arial" w:eastAsia="Arial" w:hAnsi="Arial"/>
                <w:sz w:val="16"/>
                <w:szCs w:val="16"/>
                <w:color w:val="auto"/>
              </w:rPr>
              <w:t>Accounts receivable allowances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3,763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(2,252)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2,071</w:t>
            </w:r>
          </w:p>
        </w:tc>
        <w:tc>
          <w:tcPr>
            <w:tcW w:w="0" w:type="dxa"/>
            <w:vAlign w:val="bottom"/>
          </w:tcPr>
          <w:p>
            <w:pPr>
              <w:spacing w:after="0"/>
              <w:rPr>
                <w:sz w:val="1"/>
                <w:szCs w:val="1"/>
                <w:color w:val="auto"/>
              </w:rPr>
            </w:pPr>
          </w:p>
        </w:tc>
      </w:tr>
      <w:tr>
        <w:trPr>
          <w:trHeight w:val="219"/>
        </w:trPr>
        <w:tc>
          <w:tcPr>
            <w:tcW w:w="3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tax asset valuation allowance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All other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7040" w:type="dxa"/>
            <w:vAlign w:val="bottom"/>
            <w:gridSpan w:val="2"/>
          </w:tcPr>
          <w:p>
            <w:pPr>
              <w:ind w:left="2580"/>
              <w:spacing w:after="0"/>
              <w:rPr>
                <w:sz w:val="20"/>
                <w:szCs w:val="20"/>
                <w:color w:val="auto"/>
              </w:rPr>
            </w:pPr>
            <w:r>
              <w:rPr>
                <w:rFonts w:ascii="Arial" w:cs="Arial" w:eastAsia="Arial" w:hAnsi="Arial"/>
                <w:sz w:val="18"/>
                <w:szCs w:val="18"/>
                <w:b w:val="1"/>
                <w:bCs w:val="1"/>
                <w:color w:val="auto"/>
              </w:rPr>
              <w:t>ZOOM VIDEO COMMUNICATIONS, INC.</w:t>
            </w:r>
          </w:p>
        </w:tc>
      </w:tr>
      <w:tr>
        <w:trPr>
          <w:trHeight w:val="486"/>
        </w:trPr>
        <w:tc>
          <w:tcPr>
            <w:tcW w:w="4160" w:type="dxa"/>
            <w:vAlign w:val="bottom"/>
          </w:tcPr>
          <w:p>
            <w:pPr>
              <w:spacing w:after="0"/>
              <w:rPr>
                <w:sz w:val="20"/>
                <w:szCs w:val="20"/>
                <w:color w:val="auto"/>
              </w:rPr>
            </w:pPr>
            <w:r>
              <w:rPr>
                <w:rFonts w:ascii="Arial" w:cs="Arial" w:eastAsia="Arial" w:hAnsi="Arial"/>
                <w:sz w:val="18"/>
                <w:szCs w:val="18"/>
                <w:color w:val="auto"/>
              </w:rPr>
              <w:t>Date: March 18, 2021</w:t>
            </w:r>
          </w:p>
        </w:tc>
        <w:tc>
          <w:tcPr>
            <w:tcW w:w="3100" w:type="dxa"/>
            <w:vAlign w:val="bottom"/>
          </w:tcPr>
          <w:p>
            <w:pPr>
              <w:ind w:left="258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S. Yuan</w:t>
            </w:r>
          </w:p>
        </w:tc>
      </w:tr>
      <w:tr>
        <w:trPr>
          <w:trHeight w:val="222"/>
        </w:trPr>
        <w:tc>
          <w:tcPr>
            <w:tcW w:w="4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Eric S. Yuan</w:t>
            </w:r>
          </w:p>
        </w:tc>
      </w:tr>
      <w:tr>
        <w:trPr>
          <w:trHeight w:val="229"/>
        </w:trPr>
        <w:tc>
          <w:tcPr>
            <w:tcW w:w="4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4160" w:type="dxa"/>
            <w:vAlign w:val="bottom"/>
          </w:tcPr>
          <w:p>
            <w:pPr>
              <w:spacing w:after="0"/>
              <w:rPr>
                <w:sz w:val="20"/>
                <w:szCs w:val="20"/>
                <w:color w:val="auto"/>
              </w:rPr>
            </w:pPr>
            <w:r>
              <w:rPr>
                <w:rFonts w:ascii="Arial" w:cs="Arial" w:eastAsia="Arial" w:hAnsi="Arial"/>
                <w:sz w:val="18"/>
                <w:szCs w:val="18"/>
                <w:color w:val="auto"/>
              </w:rPr>
              <w:t>Date: March 18, 2021</w:t>
            </w:r>
          </w:p>
        </w:tc>
        <w:tc>
          <w:tcPr>
            <w:tcW w:w="3100" w:type="dxa"/>
            <w:vAlign w:val="bottom"/>
          </w:tcPr>
          <w:p>
            <w:pPr>
              <w:ind w:left="258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Kelly Steckelberg</w:t>
            </w:r>
          </w:p>
        </w:tc>
      </w:tr>
      <w:tr>
        <w:trPr>
          <w:trHeight w:val="222"/>
        </w:trPr>
        <w:tc>
          <w:tcPr>
            <w:tcW w:w="4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Kelly Steckelberg</w:t>
            </w:r>
          </w:p>
        </w:tc>
      </w:tr>
      <w:tr>
        <w:trPr>
          <w:trHeight w:val="230"/>
        </w:trPr>
        <w:tc>
          <w:tcPr>
            <w:tcW w:w="4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43"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7"/>
          <w:szCs w:val="17"/>
          <w:color w:val="auto"/>
        </w:rPr>
        <w:t>Each person whose signature appears below constitutes and appoints Eric S. Yuan, Kelly Steckelberg, and Aparna Bawa,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207"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by the following persons on behalf of the registrant and in the capacities and on the dates indicated.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145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17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145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Eric S. Yuan</w:t>
      </w:r>
    </w:p>
    <w:p>
      <w:pPr>
        <w:spacing w:after="0" w:line="15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45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Kelly Steckelberg</w:t>
      </w:r>
    </w:p>
    <w:p>
      <w:pPr>
        <w:spacing w:after="0" w:line="19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Shane Crehan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45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57"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Shane Crehan</w:t>
      </w:r>
    </w:p>
    <w:p>
      <w:pPr>
        <w:spacing w:after="0" w:line="19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Jonathan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1457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Jonathan Chadwick</w:t>
      </w:r>
    </w:p>
    <w:p>
      <w:pPr>
        <w:spacing w:after="0" w:line="18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Carl M. Eschenbach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145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Carl M. Eschenbach</w:t>
      </w:r>
    </w:p>
    <w:p>
      <w:pPr>
        <w:spacing w:after="0" w:line="19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Peter Gassner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145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Peter Gassner</w:t>
      </w:r>
    </w:p>
    <w:p>
      <w:pPr>
        <w:spacing w:after="0" w:line="19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Kimberly L. Hammonds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145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Kimberly L. Hammonds</w:t>
      </w:r>
    </w:p>
    <w:p>
      <w:pPr>
        <w:spacing w:after="0" w:line="198"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Herbert Raymond McMaster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23145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5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Herbert Raymond McMaster</w:t>
      </w:r>
    </w:p>
    <w:p>
      <w:pPr>
        <w:spacing w:after="0" w:line="18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Janet Napolitano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145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Janet Napolitano</w:t>
      </w:r>
    </w:p>
    <w:p>
      <w:pPr>
        <w:spacing w:after="0" w:line="18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145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Dan Scheinman</w:t>
      </w:r>
    </w:p>
    <w:p>
      <w:pPr>
        <w:spacing w:after="0" w:line="18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Santiago Subotovsky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145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4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Santiago Subotovsky</w:t>
      </w:r>
    </w:p>
    <w:p>
      <w:pPr>
        <w:spacing w:after="0" w:line="19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Bart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3145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30"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Bart Swanson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307721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President, Chief Executive Officer and Director </w:t>
      </w:r>
      <w:r>
        <w:rPr>
          <w:rFonts w:ascii="Arial" w:cs="Arial" w:eastAsia="Arial" w:hAnsi="Arial"/>
          <w:sz w:val="16"/>
          <w:szCs w:val="16"/>
          <w:i w:val="1"/>
          <w:iCs w:val="1"/>
          <w:color w:val="auto"/>
        </w:rPr>
        <w:t>(Principal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Chief Accounting Officer </w:t>
      </w:r>
      <w:r>
        <w:rPr>
          <w:rFonts w:ascii="Arial" w:cs="Arial" w:eastAsia="Arial" w:hAnsi="Arial"/>
          <w:sz w:val="17"/>
          <w:szCs w:val="17"/>
          <w:i w:val="1"/>
          <w:iCs w:val="1"/>
          <w:color w:val="auto"/>
        </w:rPr>
        <w:t>(Principal Accounting Officer)</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jc w:val="center"/>
        <w:ind w:right="7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14605</wp:posOffset>
            </wp:positionV>
            <wp:extent cx="16198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March 18, 2021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March 18, 2021</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March 18,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18, 2021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March 18,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18,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18,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18, 2021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March 18, 2021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March 18, 2021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March 18, 2021</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18, 2021</w:t>
      </w:r>
    </w:p>
    <w:p>
      <w:pPr>
        <w:spacing w:after="0" w:line="479" w:lineRule="exact"/>
        <w:rPr>
          <w:sz w:val="20"/>
          <w:szCs w:val="20"/>
          <w:color w:val="auto"/>
        </w:rPr>
      </w:pPr>
    </w:p>
    <w:p>
      <w:pPr>
        <w:sectPr>
          <w:pgSz w:w="11900" w:h="16838" w:orient="portrait"/>
          <w:cols w:equalWidth="0" w:num="3">
            <w:col w:w="3040" w:space="720"/>
            <w:col w:w="4920" w:space="720"/>
            <w:col w:w="18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40"/>
          </w:cols>
          <w:pgMar w:left="320" w:top="125" w:right="33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22"/>
          <w:szCs w:val="22"/>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4" w:lineRule="exact"/>
        <w:rPr>
          <w:sz w:val="20"/>
          <w:szCs w:val="20"/>
          <w:color w:val="auto"/>
        </w:rPr>
      </w:pPr>
    </w:p>
    <w:p>
      <w:pPr>
        <w:jc w:val="both"/>
        <w:ind w:firstLine="441"/>
        <w:spacing w:after="0" w:line="233" w:lineRule="auto"/>
        <w:rPr>
          <w:sz w:val="20"/>
          <w:szCs w:val="20"/>
          <w:color w:val="auto"/>
        </w:rPr>
      </w:pPr>
      <w:r>
        <w:rPr>
          <w:rFonts w:ascii="Arial" w:cs="Arial" w:eastAsia="Arial" w:hAnsi="Arial"/>
          <w:sz w:val="22"/>
          <w:szCs w:val="22"/>
          <w:color w:val="auto"/>
        </w:rPr>
        <w:t>The following is a summary of the rights of our common and preferred stock and some of the provisions of our amended and restated certificate of incorporation, amended and restated bylaws, and relevant provisions of Delaware General Corporation Law. The descriptions herein are qualified in their entirety by our amended and restated certificate of incorporation and amended and restated bylaws, copies of which have been filed as exhibits to our Annual Report on Form 10-K, as well as the relevant provisions of Delaware General Corporation Law.</w:t>
      </w:r>
    </w:p>
    <w:p>
      <w:pPr>
        <w:spacing w:after="0" w:line="212" w:lineRule="exact"/>
        <w:rPr>
          <w:sz w:val="20"/>
          <w:szCs w:val="20"/>
          <w:color w:val="auto"/>
        </w:rPr>
      </w:pPr>
    </w:p>
    <w:p>
      <w:pPr>
        <w:jc w:val="both"/>
        <w:ind w:firstLine="441"/>
        <w:spacing w:after="0"/>
        <w:rPr>
          <w:sz w:val="20"/>
          <w:szCs w:val="20"/>
          <w:color w:val="auto"/>
        </w:rPr>
      </w:pPr>
      <w:r>
        <w:rPr>
          <w:rFonts w:ascii="Arial" w:cs="Arial" w:eastAsia="Arial" w:hAnsi="Arial"/>
          <w:sz w:val="22"/>
          <w:szCs w:val="22"/>
          <w:color w:val="auto"/>
        </w:rPr>
        <w:t>Our amended and restated certificate of incorporation provides for two classes of common stock: Class A common stock and Class B common stock, and it authorizes shares of undesignated preferred stock, the rights, preferences and privileges of which may be designated from time to time by our board of directors.</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Our authorized capital stock consists of the following shares, all with a par value of $0.001 per share, of which:</w:t>
      </w:r>
    </w:p>
    <w:p>
      <w:pPr>
        <w:spacing w:after="0" w:line="233" w:lineRule="exact"/>
        <w:rPr>
          <w:sz w:val="20"/>
          <w:szCs w:val="20"/>
          <w:color w:val="auto"/>
        </w:rPr>
      </w:pPr>
    </w:p>
    <w:p>
      <w:pPr>
        <w:ind w:left="780" w:hanging="124"/>
        <w:spacing w:after="0"/>
        <w:tabs>
          <w:tab w:leader="none" w:pos="7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2,000,000,000 shares are designated as Class A common stock;</w:t>
      </w:r>
    </w:p>
    <w:p>
      <w:pPr>
        <w:spacing w:after="0" w:line="246" w:lineRule="exact"/>
        <w:rPr>
          <w:rFonts w:ascii="Arial" w:cs="Arial" w:eastAsia="Arial" w:hAnsi="Arial"/>
          <w:sz w:val="22"/>
          <w:szCs w:val="22"/>
          <w:color w:val="auto"/>
        </w:rPr>
      </w:pPr>
    </w:p>
    <w:p>
      <w:pPr>
        <w:ind w:left="780" w:hanging="124"/>
        <w:spacing w:after="0"/>
        <w:tabs>
          <w:tab w:leader="none" w:pos="7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300,000,000 shares are designated as Class B common stock; and</w:t>
      </w:r>
    </w:p>
    <w:p>
      <w:pPr>
        <w:spacing w:after="0" w:line="246" w:lineRule="exact"/>
        <w:rPr>
          <w:rFonts w:ascii="Arial" w:cs="Arial" w:eastAsia="Arial" w:hAnsi="Arial"/>
          <w:sz w:val="22"/>
          <w:szCs w:val="22"/>
          <w:color w:val="auto"/>
        </w:rPr>
      </w:pPr>
    </w:p>
    <w:p>
      <w:pPr>
        <w:ind w:left="780" w:hanging="124"/>
        <w:spacing w:after="0"/>
        <w:tabs>
          <w:tab w:leader="none" w:pos="7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200,000,000 shares are designated as preferred stock.</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Class A and Class B Common Stock</w:t>
      </w:r>
    </w:p>
    <w:p>
      <w:pPr>
        <w:spacing w:after="0" w:line="239"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9"/>
          <w:szCs w:val="19"/>
          <w:color w:val="auto"/>
        </w:rPr>
        <w:t>All issued and outstanding shares of our Class A common stock and Class B common stock are duly authorized, validly issued, fully paid and non-assessable. All authorized but unissued shares of our Class A common stock and Class B common stock are available for issuance by our board of directors without any further stockholder action, except as required by the listing standards of The Nasdaq Stock Market. Our amended and restated certificate of incorporation provides that, except with respect to voting rights and conversion rights, the Class A common stock and Class B common stock are treated equally and identically.</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Voting Rights</w:t>
      </w:r>
    </w:p>
    <w:p>
      <w:pPr>
        <w:spacing w:after="0" w:line="233"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22"/>
          <w:szCs w:val="22"/>
          <w:color w:val="auto"/>
        </w:rPr>
        <w:t>Holders of Class A common stock are entitled to one vote per share on all matters to be voted upon by the stockholders, and holders of Class B common stock are entitled to 10 votes per share on all matters to be voted upon by the stockholders. The holders of our Class A common stock and Class B common stock generally vote together as a single class on all matters submitted to a vote of our stockholders, unless otherwise required by Delaware law or our amended and restated certificate of incorporation. Delaware law would permit holders of Class A common stock to vote separately, as a single class, if we were to change the par value of the</w:t>
      </w:r>
    </w:p>
    <w:p>
      <w:pPr>
        <w:sectPr>
          <w:pgSz w:w="11900" w:h="16838" w:orient="portrait"/>
          <w:cols w:equalWidth="0" w:num="1">
            <w:col w:w="11240"/>
          </w:cols>
          <w:pgMar w:left="320" w:top="147" w:right="339" w:bottom="1440" w:gutter="0" w:footer="0" w:header="0"/>
        </w:sectPr>
      </w:pPr>
    </w:p>
    <w:bookmarkStart w:id="101" w:name="page102"/>
    <w:bookmarkEnd w:id="101"/>
    <w:p>
      <w:pPr>
        <w:jc w:val="both"/>
        <w:ind w:right="20"/>
        <w:spacing w:after="0" w:line="250" w:lineRule="auto"/>
        <w:rPr>
          <w:sz w:val="20"/>
          <w:szCs w:val="20"/>
          <w:color w:val="auto"/>
        </w:rPr>
      </w:pPr>
      <w:r>
        <w:rPr>
          <w:rFonts w:ascii="Arial" w:cs="Arial" w:eastAsia="Arial" w:hAnsi="Arial"/>
          <w:sz w:val="22"/>
          <w:szCs w:val="22"/>
          <w:color w:val="auto"/>
        </w:rPr>
        <w:t>Class A common stock or amend our certificate of incorporation to alter the powers, preferences or special rights of the common stock as a whole in a way that would adversely affect the holders of our Class A common stock.</w:t>
      </w:r>
    </w:p>
    <w:p>
      <w:pPr>
        <w:spacing w:after="0" w:line="202"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9"/>
          <w:szCs w:val="19"/>
          <w:color w:val="auto"/>
        </w:rPr>
        <w:t>In addition, Delaware law would permit holders of Class A common stock to vote separately, as a single class, if an amendment of our certificate of incorporation would adversely affect them by altering the powers, preferences, or special rights of the Class A common stock, but not the Class B common stock. 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pacing w:after="0" w:line="184" w:lineRule="exact"/>
        <w:rPr>
          <w:sz w:val="20"/>
          <w:szCs w:val="20"/>
          <w:color w:val="auto"/>
        </w:rPr>
      </w:pPr>
    </w:p>
    <w:p>
      <w:pPr>
        <w:jc w:val="both"/>
        <w:ind w:firstLine="441"/>
        <w:spacing w:after="0" w:line="274" w:lineRule="auto"/>
        <w:rPr>
          <w:sz w:val="20"/>
          <w:szCs w:val="20"/>
          <w:color w:val="auto"/>
        </w:rPr>
      </w:pPr>
      <w:r>
        <w:rPr>
          <w:rFonts w:ascii="Arial" w:cs="Arial" w:eastAsia="Arial" w:hAnsi="Arial"/>
          <w:sz w:val="19"/>
          <w:szCs w:val="19"/>
          <w:color w:val="auto"/>
        </w:rPr>
        <w:t>Our amended and restated certificate of incorporation provides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our outstanding capital stock, voting together as a single class (i.e., without a separate class vote of the holders of either the Class A common stick or the Class B common stock). As a result, the holders of a majority of the outstanding Class B common stock, which is entitled to 10 votes per share,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9"/>
          <w:szCs w:val="19"/>
          <w:color w:val="auto"/>
        </w:rPr>
        <w:t>Our amended and restated certificate of incorporation does not provide for cumulative voting for the election of directors.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Dividend Rights</w:t>
      </w:r>
    </w:p>
    <w:p>
      <w:pPr>
        <w:spacing w:after="0" w:line="233" w:lineRule="exact"/>
        <w:rPr>
          <w:sz w:val="20"/>
          <w:szCs w:val="20"/>
          <w:color w:val="auto"/>
        </w:rPr>
      </w:pPr>
    </w:p>
    <w:p>
      <w:pPr>
        <w:jc w:val="both"/>
        <w:ind w:firstLine="441"/>
        <w:spacing w:after="0" w:line="274" w:lineRule="auto"/>
        <w:rPr>
          <w:sz w:val="20"/>
          <w:szCs w:val="20"/>
          <w:color w:val="auto"/>
        </w:rPr>
      </w:pPr>
      <w:r>
        <w:rPr>
          <w:rFonts w:ascii="Arial" w:cs="Arial" w:eastAsia="Arial" w:hAnsi="Arial"/>
          <w:sz w:val="19"/>
          <w:szCs w:val="19"/>
          <w:color w:val="auto"/>
        </w:rPr>
        <w:t>Holders of Class A common stock and Class B common stock are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ectPr>
          <w:pgSz w:w="11900" w:h="16838" w:orient="portrait"/>
          <w:cols w:equalWidth="0" w:num="1">
            <w:col w:w="11240"/>
          </w:cols>
          <w:pgMar w:left="320" w:top="1414" w:right="339" w:bottom="1440" w:gutter="0" w:footer="0" w:header="0"/>
        </w:sectPr>
      </w:pPr>
    </w:p>
    <w:bookmarkStart w:id="102" w:name="page103"/>
    <w:bookmarkEnd w:id="102"/>
    <w:p>
      <w:pPr>
        <w:spacing w:after="0" w:line="200" w:lineRule="exact"/>
        <w:rPr>
          <w:sz w:val="20"/>
          <w:szCs w:val="20"/>
          <w:color w:val="auto"/>
        </w:rPr>
      </w:pPr>
    </w:p>
    <w:p>
      <w:pPr>
        <w:spacing w:after="0" w:line="261"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Right to Receive Liquidation Distributions</w:t>
      </w:r>
    </w:p>
    <w:p>
      <w:pPr>
        <w:spacing w:after="0" w:line="233"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9"/>
          <w:szCs w:val="19"/>
          <w:color w:val="auto"/>
        </w:rPr>
        <w:t>Upon our dissolution, liquidation or winding-up or a deemed liquidation,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Subdivisions and Combinations</w:t>
      </w:r>
    </w:p>
    <w:p>
      <w:pPr>
        <w:spacing w:after="0" w:line="233" w:lineRule="exact"/>
        <w:rPr>
          <w:sz w:val="20"/>
          <w:szCs w:val="20"/>
          <w:color w:val="auto"/>
        </w:rPr>
      </w:pPr>
    </w:p>
    <w:p>
      <w:pPr>
        <w:jc w:val="both"/>
        <w:ind w:firstLine="441"/>
        <w:spacing w:after="0" w:line="236" w:lineRule="auto"/>
        <w:rPr>
          <w:sz w:val="20"/>
          <w:szCs w:val="20"/>
          <w:color w:val="auto"/>
        </w:rPr>
      </w:pPr>
      <w:r>
        <w:rPr>
          <w:rFonts w:ascii="Arial" w:cs="Arial" w:eastAsia="Arial" w:hAnsi="Arial"/>
          <w:sz w:val="22"/>
          <w:szCs w:val="22"/>
          <w:color w:val="auto"/>
        </w:rPr>
        <w:t>If we subdivide or combine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214"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Conversion</w:t>
      </w:r>
    </w:p>
    <w:p>
      <w:pPr>
        <w:spacing w:after="0" w:line="233" w:lineRule="exact"/>
        <w:rPr>
          <w:sz w:val="20"/>
          <w:szCs w:val="20"/>
          <w:color w:val="auto"/>
        </w:rPr>
      </w:pPr>
    </w:p>
    <w:p>
      <w:pPr>
        <w:jc w:val="both"/>
        <w:ind w:firstLine="441"/>
        <w:spacing w:after="0" w:line="274" w:lineRule="auto"/>
        <w:rPr>
          <w:sz w:val="20"/>
          <w:szCs w:val="20"/>
          <w:color w:val="auto"/>
        </w:rPr>
      </w:pPr>
      <w:r>
        <w:rPr>
          <w:rFonts w:ascii="Arial" w:cs="Arial" w:eastAsia="Arial" w:hAnsi="Arial"/>
          <w:sz w:val="19"/>
          <w:szCs w:val="19"/>
          <w:color w:val="auto"/>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the date that is six months following the death or incapacity of Eric S. Yuan, (ii) the date that is six months following the date that Mr. Yuan ceases providing services to us or his employment is terminated by us for cause, (iii) the date specified by the holders of a majority of the then outstanding shares of Class B common stock, voting separately as a class and (iv) the 15-year anniversary of the closing of our initial public offering.</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Other Matters</w:t>
      </w:r>
    </w:p>
    <w:p>
      <w:pPr>
        <w:spacing w:after="0" w:line="233" w:lineRule="exact"/>
        <w:rPr>
          <w:sz w:val="20"/>
          <w:szCs w:val="20"/>
          <w:color w:val="auto"/>
        </w:rPr>
      </w:pPr>
    </w:p>
    <w:p>
      <w:pPr>
        <w:jc w:val="both"/>
        <w:ind w:firstLine="441"/>
        <w:spacing w:after="0" w:line="250" w:lineRule="auto"/>
        <w:rPr>
          <w:sz w:val="20"/>
          <w:szCs w:val="20"/>
          <w:color w:val="auto"/>
        </w:rPr>
      </w:pPr>
      <w:r>
        <w:rPr>
          <w:rFonts w:ascii="Arial" w:cs="Arial" w:eastAsia="Arial" w:hAnsi="Arial"/>
          <w:sz w:val="22"/>
          <w:szCs w:val="22"/>
          <w:color w:val="auto"/>
        </w:rPr>
        <w:t>The Class A common stock and Class B common stock have no preemptive rights pursuant to the terms of our amended and restated certificate of incorporation and our amended and</w:t>
      </w:r>
    </w:p>
    <w:p>
      <w:pPr>
        <w:sectPr>
          <w:pgSz w:w="11900" w:h="16838" w:orient="portrait"/>
          <w:cols w:equalWidth="0" w:num="1">
            <w:col w:w="11240"/>
          </w:cols>
          <w:pgMar w:left="320" w:top="1440" w:right="339" w:bottom="1440" w:gutter="0" w:footer="0" w:header="0"/>
        </w:sectPr>
      </w:pPr>
    </w:p>
    <w:bookmarkStart w:id="103" w:name="page104"/>
    <w:bookmarkEnd w:id="103"/>
    <w:p>
      <w:pPr>
        <w:jc w:val="both"/>
        <w:spacing w:after="0" w:line="250" w:lineRule="auto"/>
        <w:rPr>
          <w:sz w:val="20"/>
          <w:szCs w:val="20"/>
          <w:color w:val="auto"/>
        </w:rPr>
      </w:pPr>
      <w:r>
        <w:rPr>
          <w:rFonts w:ascii="Arial" w:cs="Arial" w:eastAsia="Arial" w:hAnsi="Arial"/>
          <w:sz w:val="22"/>
          <w:szCs w:val="22"/>
          <w:color w:val="auto"/>
        </w:rPr>
        <w:t>restated bylaws. There are no redemption or sinking fund provisions applicable to the Class A common stock and Class B common stock. All outstanding shares of our Class A common stock are fully paid and non-assessable.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239" w:lineRule="exact"/>
        <w:rPr>
          <w:sz w:val="20"/>
          <w:szCs w:val="20"/>
          <w:color w:val="auto"/>
        </w:rPr>
      </w:pPr>
    </w:p>
    <w:p>
      <w:pPr>
        <w:jc w:val="both"/>
        <w:ind w:firstLine="441"/>
        <w:spacing w:after="0" w:line="275" w:lineRule="auto"/>
        <w:rPr>
          <w:sz w:val="20"/>
          <w:szCs w:val="20"/>
          <w:color w:val="auto"/>
        </w:rPr>
      </w:pPr>
      <w:r>
        <w:rPr>
          <w:rFonts w:ascii="Arial" w:cs="Arial" w:eastAsia="Arial" w:hAnsi="Arial"/>
          <w:sz w:val="19"/>
          <w:szCs w:val="19"/>
          <w:color w:val="auto"/>
        </w:rPr>
        <w:t>Our board of directors may, without further action by our stockholders, fix the rights, preferences, privileges and restrictions of up to an aggregate of 200,000,000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No shares of preferred stock are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Delaware Law and Our Certificate of Incorporation and Bylaws</w:t>
      </w:r>
    </w:p>
    <w:p>
      <w:pPr>
        <w:spacing w:after="0" w:line="239"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22"/>
          <w:szCs w:val="22"/>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215" w:lineRule="exact"/>
        <w:rPr>
          <w:sz w:val="20"/>
          <w:szCs w:val="20"/>
          <w:color w:val="auto"/>
        </w:rPr>
      </w:pPr>
    </w:p>
    <w:p>
      <w:pPr>
        <w:jc w:val="both"/>
        <w:ind w:firstLine="441"/>
        <w:spacing w:after="0" w:line="282" w:lineRule="auto"/>
        <w:rPr>
          <w:sz w:val="20"/>
          <w:szCs w:val="20"/>
          <w:color w:val="auto"/>
        </w:rPr>
      </w:pPr>
      <w:r>
        <w:rPr>
          <w:rFonts w:ascii="Arial" w:cs="Arial" w:eastAsia="Arial" w:hAnsi="Arial"/>
          <w:sz w:val="19"/>
          <w:szCs w:val="19"/>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Dual Class Stock</w:t>
      </w:r>
    </w:p>
    <w:p>
      <w:pPr>
        <w:spacing w:after="0" w:line="233"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22"/>
          <w:szCs w:val="22"/>
          <w:color w:val="auto"/>
        </w:rPr>
        <w:t>As described above,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ectPr>
          <w:pgSz w:w="11900" w:h="16838" w:orient="portrait"/>
          <w:cols w:equalWidth="0" w:num="1">
            <w:col w:w="11240"/>
          </w:cols>
          <w:pgMar w:left="320" w:top="1414" w:right="339" w:bottom="1440" w:gutter="0" w:footer="0" w:header="0"/>
        </w:sectPr>
      </w:pPr>
    </w:p>
    <w:bookmarkStart w:id="104" w:name="page105"/>
    <w:bookmarkEnd w:id="104"/>
    <w:p>
      <w:pPr>
        <w:spacing w:after="0" w:line="218"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Stockholder Meetings</w:t>
      </w:r>
    </w:p>
    <w:p>
      <w:pPr>
        <w:spacing w:after="0" w:line="233" w:lineRule="exact"/>
        <w:rPr>
          <w:sz w:val="20"/>
          <w:szCs w:val="20"/>
          <w:color w:val="auto"/>
        </w:rPr>
      </w:pPr>
    </w:p>
    <w:p>
      <w:pPr>
        <w:jc w:val="both"/>
        <w:ind w:right="20" w:firstLine="441"/>
        <w:spacing w:after="0" w:line="250" w:lineRule="auto"/>
        <w:rPr>
          <w:sz w:val="20"/>
          <w:szCs w:val="20"/>
          <w:color w:val="auto"/>
        </w:rPr>
      </w:pPr>
      <w:r>
        <w:rPr>
          <w:rFonts w:ascii="Arial" w:cs="Arial" w:eastAsia="Arial" w:hAnsi="Arial"/>
          <w:sz w:val="22"/>
          <w:szCs w:val="22"/>
          <w:color w:val="auto"/>
        </w:rPr>
        <w:t>Our amended and restated bylaws provide that a special meeting of stockholders may be called only by our chairperson of the board, chief executive officer, or by a resolution adopted by a majority of our board of directors.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Requirements for Advance Notification of Stockholder Nominations and Proposals</w:t>
      </w:r>
    </w:p>
    <w:p>
      <w:pPr>
        <w:spacing w:after="0" w:line="233" w:lineRule="exact"/>
        <w:rPr>
          <w:sz w:val="20"/>
          <w:szCs w:val="20"/>
          <w:color w:val="auto"/>
        </w:rPr>
      </w:pPr>
    </w:p>
    <w:p>
      <w:pPr>
        <w:jc w:val="both"/>
        <w:ind w:firstLine="441"/>
        <w:spacing w:after="0"/>
        <w:rPr>
          <w:sz w:val="20"/>
          <w:szCs w:val="20"/>
          <w:color w:val="auto"/>
        </w:rPr>
      </w:pPr>
      <w:r>
        <w:rPr>
          <w:rFonts w:ascii="Arial" w:cs="Arial" w:eastAsia="Arial" w:hAnsi="Arial"/>
          <w:sz w:val="22"/>
          <w:szCs w:val="22"/>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Elimination of Stockholder Action by Written Consent</w:t>
      </w:r>
    </w:p>
    <w:p>
      <w:pPr>
        <w:spacing w:after="0" w:line="233" w:lineRule="exact"/>
        <w:rPr>
          <w:sz w:val="20"/>
          <w:szCs w:val="20"/>
          <w:color w:val="auto"/>
        </w:rPr>
      </w:pPr>
    </w:p>
    <w:p>
      <w:pPr>
        <w:jc w:val="both"/>
        <w:ind w:right="20" w:firstLine="441"/>
        <w:spacing w:after="0" w:line="250" w:lineRule="auto"/>
        <w:rPr>
          <w:sz w:val="20"/>
          <w:szCs w:val="20"/>
          <w:color w:val="auto"/>
        </w:rPr>
      </w:pPr>
      <w:r>
        <w:rPr>
          <w:rFonts w:ascii="Arial" w:cs="Arial" w:eastAsia="Arial" w:hAnsi="Arial"/>
          <w:sz w:val="22"/>
          <w:szCs w:val="22"/>
          <w:color w:val="auto"/>
        </w:rPr>
        <w:t>Our amended and restated certificate of incorporation and amended and restated bylaws eliminate the right of stockholders to act by written consent without a meeting.</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Staggered Board</w:t>
      </w:r>
    </w:p>
    <w:p>
      <w:pPr>
        <w:spacing w:after="0" w:line="233"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22"/>
          <w:szCs w:val="22"/>
          <w:color w:val="auto"/>
        </w:rPr>
        <w:t>Our board of directors is divided into three classes. The directors in each class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Removal of Directors</w:t>
      </w:r>
    </w:p>
    <w:p>
      <w:pPr>
        <w:spacing w:after="0" w:line="233" w:lineRule="exact"/>
        <w:rPr>
          <w:sz w:val="20"/>
          <w:szCs w:val="20"/>
          <w:color w:val="auto"/>
        </w:rPr>
      </w:pPr>
    </w:p>
    <w:p>
      <w:pPr>
        <w:jc w:val="both"/>
        <w:ind w:firstLine="441"/>
        <w:spacing w:after="0" w:line="297" w:lineRule="auto"/>
        <w:rPr>
          <w:sz w:val="20"/>
          <w:szCs w:val="20"/>
          <w:color w:val="auto"/>
        </w:rPr>
      </w:pPr>
      <w:r>
        <w:rPr>
          <w:rFonts w:ascii="Arial" w:cs="Arial" w:eastAsia="Arial" w:hAnsi="Arial"/>
          <w:sz w:val="19"/>
          <w:szCs w:val="19"/>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Stockholders Not Entitled to Cumulative Voting</w:t>
      </w:r>
    </w:p>
    <w:p>
      <w:pPr>
        <w:spacing w:after="0" w:line="233" w:lineRule="exact"/>
        <w:rPr>
          <w:sz w:val="20"/>
          <w:szCs w:val="20"/>
          <w:color w:val="auto"/>
        </w:rPr>
      </w:pPr>
    </w:p>
    <w:p>
      <w:pPr>
        <w:jc w:val="both"/>
        <w:ind w:firstLine="441"/>
        <w:spacing w:after="0" w:line="238" w:lineRule="auto"/>
        <w:rPr>
          <w:sz w:val="20"/>
          <w:szCs w:val="20"/>
          <w:color w:val="auto"/>
        </w:rPr>
      </w:pPr>
      <w:r>
        <w:rPr>
          <w:rFonts w:ascii="Arial" w:cs="Arial" w:eastAsia="Arial" w:hAnsi="Arial"/>
          <w:sz w:val="22"/>
          <w:szCs w:val="22"/>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Delaware Anti-Takeover Statute</w:t>
      </w:r>
    </w:p>
    <w:p>
      <w:pPr>
        <w:spacing w:after="0" w:line="233" w:lineRule="exact"/>
        <w:rPr>
          <w:sz w:val="20"/>
          <w:szCs w:val="20"/>
          <w:color w:val="auto"/>
        </w:rPr>
      </w:pPr>
    </w:p>
    <w:p>
      <w:pPr>
        <w:jc w:val="both"/>
        <w:ind w:firstLine="441"/>
        <w:spacing w:after="0"/>
        <w:rPr>
          <w:sz w:val="20"/>
          <w:szCs w:val="20"/>
          <w:color w:val="auto"/>
        </w:rPr>
      </w:pPr>
      <w:r>
        <w:rPr>
          <w:rFonts w:ascii="Arial" w:cs="Arial" w:eastAsia="Arial" w:hAnsi="Arial"/>
          <w:sz w:val="22"/>
          <w:szCs w:val="22"/>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w:t>
      </w:r>
    </w:p>
    <w:p>
      <w:pPr>
        <w:sectPr>
          <w:pgSz w:w="11900" w:h="16838" w:orient="portrait"/>
          <w:cols w:equalWidth="0" w:num="1">
            <w:col w:w="11240"/>
          </w:cols>
          <w:pgMar w:left="320" w:top="1440" w:right="339" w:bottom="1440" w:gutter="0" w:footer="0" w:header="0"/>
        </w:sectPr>
      </w:pPr>
    </w:p>
    <w:bookmarkStart w:id="105" w:name="page106"/>
    <w:bookmarkEnd w:id="105"/>
    <w:p>
      <w:pPr>
        <w:jc w:val="both"/>
        <w:spacing w:after="0" w:line="279" w:lineRule="auto"/>
        <w:rPr>
          <w:sz w:val="20"/>
          <w:szCs w:val="20"/>
          <w:color w:val="auto"/>
        </w:rPr>
      </w:pPr>
      <w:r>
        <w:rPr>
          <w:rFonts w:ascii="Arial" w:cs="Arial" w:eastAsia="Arial" w:hAnsi="Arial"/>
          <w:sz w:val="19"/>
          <w:szCs w:val="19"/>
          <w:color w:val="auto"/>
        </w:rPr>
        <w:t>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Choice of Forum</w:t>
      </w:r>
    </w:p>
    <w:p>
      <w:pPr>
        <w:spacing w:after="0" w:line="233" w:lineRule="exact"/>
        <w:rPr>
          <w:sz w:val="20"/>
          <w:szCs w:val="20"/>
          <w:color w:val="auto"/>
        </w:rPr>
      </w:pPr>
    </w:p>
    <w:p>
      <w:pPr>
        <w:jc w:val="both"/>
        <w:ind w:firstLine="441"/>
        <w:spacing w:after="0" w:line="273" w:lineRule="auto"/>
        <w:rPr>
          <w:sz w:val="20"/>
          <w:szCs w:val="20"/>
          <w:color w:val="auto"/>
        </w:rPr>
      </w:pPr>
      <w:r>
        <w:rPr>
          <w:rFonts w:ascii="Arial" w:cs="Arial" w:eastAsia="Arial" w:hAnsi="Arial"/>
          <w:sz w:val="19"/>
          <w:szCs w:val="19"/>
          <w:color w:val="auto"/>
        </w:rPr>
        <w:t>Our amended and restated certificate of incorporation provides that, unless we consent in writing to the selection of an alternative form, the Court of Chancery of the State of Delaware will be the sole and exclusive forum for the following types of actions or proceedings under Delaware statutory or common law: (i) any derivative action or proceeding brought on our behalf;</w:t>
      </w:r>
    </w:p>
    <w:p>
      <w:pPr>
        <w:spacing w:after="0" w:line="1" w:lineRule="exact"/>
        <w:rPr>
          <w:sz w:val="20"/>
          <w:szCs w:val="20"/>
          <w:color w:val="auto"/>
        </w:rPr>
      </w:pPr>
    </w:p>
    <w:p>
      <w:pPr>
        <w:jc w:val="both"/>
        <w:ind w:firstLine="8"/>
        <w:spacing w:after="0" w:line="270" w:lineRule="auto"/>
        <w:tabs>
          <w:tab w:leader="none" w:pos="325" w:val="left"/>
        </w:tabs>
        <w:numPr>
          <w:ilvl w:val="0"/>
          <w:numId w:val="47"/>
        </w:numPr>
        <w:rPr>
          <w:rFonts w:ascii="Arial" w:cs="Arial" w:eastAsia="Arial" w:hAnsi="Arial"/>
          <w:sz w:val="19"/>
          <w:szCs w:val="19"/>
          <w:color w:val="auto"/>
        </w:rPr>
      </w:pPr>
      <w:r>
        <w:rPr>
          <w:rFonts w:ascii="Arial" w:cs="Arial" w:eastAsia="Arial" w:hAnsi="Arial"/>
          <w:sz w:val="19"/>
          <w:szCs w:val="19"/>
          <w:color w:val="auto"/>
        </w:rPr>
        <w:t>any action asserting a claim of breach of a fiduciary duty or other wrongdoing by any of our directors, officers or employees to us or our stockholders; (iii) any action asserting a claim against us or any of our directors or officers or other employees arising pursuant to any provision of the Delaware General Corporation Law or our certificate of incorporation or bylaws; (iv) any action or proceeding to interpret, apply, enforce or determine the validity of our certificate of incorporation or bylaws; (v) any action or proceeding as to which the Delaware General Corporation Law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also provides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22"/>
          <w:szCs w:val="22"/>
          <w:b w:val="1"/>
          <w:bCs w:val="1"/>
          <w:i w:val="1"/>
          <w:iCs w:val="1"/>
          <w:color w:val="auto"/>
        </w:rPr>
        <w:t>Amendment of Charter Provisions</w:t>
      </w:r>
    </w:p>
    <w:p>
      <w:pPr>
        <w:spacing w:after="0" w:line="233" w:lineRule="exact"/>
        <w:rPr>
          <w:sz w:val="20"/>
          <w:szCs w:val="20"/>
          <w:color w:val="auto"/>
        </w:rPr>
      </w:pPr>
    </w:p>
    <w:p>
      <w:pPr>
        <w:jc w:val="both"/>
        <w:ind w:firstLine="441"/>
        <w:spacing w:after="0"/>
        <w:rPr>
          <w:sz w:val="20"/>
          <w:szCs w:val="20"/>
          <w:color w:val="auto"/>
        </w:rPr>
      </w:pPr>
      <w:r>
        <w:rPr>
          <w:rFonts w:ascii="Arial" w:cs="Arial" w:eastAsia="Arial" w:hAnsi="Arial"/>
          <w:sz w:val="22"/>
          <w:szCs w:val="22"/>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213"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22"/>
          <w:szCs w:val="22"/>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ectPr>
          <w:pgSz w:w="11900" w:h="16838" w:orient="portrait"/>
          <w:cols w:equalWidth="0" w:num="1">
            <w:col w:w="11240"/>
          </w:cols>
          <w:pgMar w:left="320" w:top="1414" w:right="339" w:bottom="1440" w:gutter="0" w:footer="0" w:header="0"/>
        </w:sectPr>
      </w:pPr>
    </w:p>
    <w:bookmarkStart w:id="106" w:name="page107"/>
    <w:bookmarkEnd w:id="106"/>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239" w:lineRule="exact"/>
        <w:rPr>
          <w:sz w:val="20"/>
          <w:szCs w:val="20"/>
          <w:color w:val="auto"/>
        </w:rPr>
      </w:pPr>
    </w:p>
    <w:p>
      <w:pPr>
        <w:ind w:firstLine="441"/>
        <w:spacing w:after="0" w:line="274" w:lineRule="auto"/>
        <w:rPr>
          <w:sz w:val="20"/>
          <w:szCs w:val="20"/>
          <w:color w:val="auto"/>
        </w:rPr>
      </w:pPr>
      <w:r>
        <w:rPr>
          <w:rFonts w:ascii="Arial" w:cs="Arial" w:eastAsia="Arial" w:hAnsi="Arial"/>
          <w:sz w:val="21"/>
          <w:szCs w:val="21"/>
          <w:color w:val="auto"/>
        </w:rPr>
        <w:t>The transfer agent and registrar for our Class A common stock and Class B common stock is Computershare Trust Company, N.A. The transfer agent and registrar’s address is 250 Royall Street, Canton, Massachusetts 02021.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Exchange Listing</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Our Class A common stock is listed on The Nasdaq Global Select Market under the symbol “ZM.”</w:t>
      </w:r>
    </w:p>
    <w:p>
      <w:pPr>
        <w:sectPr>
          <w:pgSz w:w="11900" w:h="16838" w:orient="portrait"/>
          <w:cols w:equalWidth="0" w:num="1">
            <w:col w:w="11240"/>
          </w:cols>
          <w:pgMar w:left="320" w:top="1440" w:right="339" w:bottom="1440" w:gutter="0" w:footer="0" w:header="0"/>
        </w:sectPr>
      </w:pPr>
    </w:p>
    <w:bookmarkStart w:id="107" w:name="page108"/>
    <w:bookmarkEnd w:id="107"/>
    <w:p>
      <w:pPr>
        <w:ind w:left="10120"/>
        <w:spacing w:after="0"/>
        <w:rPr>
          <w:sz w:val="20"/>
          <w:szCs w:val="20"/>
          <w:color w:val="auto"/>
        </w:rPr>
      </w:pPr>
      <w:r>
        <w:rPr>
          <w:rFonts w:ascii="Arial" w:cs="Arial" w:eastAsia="Arial" w:hAnsi="Arial"/>
          <w:sz w:val="21"/>
          <w:szCs w:val="21"/>
          <w:color w:val="auto"/>
        </w:rPr>
        <w:t>Exhibit 10.7</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Zoom Video Communications,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Non-Employee Director Compensation Policy</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Each member of the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who is not also serving as an employee of or consultant to Zoom Video Communications,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or any of its subsidiaries (each such member, an “</w:t>
      </w:r>
      <w:r>
        <w:rPr>
          <w:rFonts w:ascii="Arial" w:cs="Arial" w:eastAsia="Arial" w:hAnsi="Arial"/>
          <w:sz w:val="22"/>
          <w:szCs w:val="22"/>
          <w:b w:val="1"/>
          <w:bCs w:val="1"/>
          <w:i w:val="1"/>
          <w:iCs w:val="1"/>
          <w:color w:val="auto"/>
        </w:rPr>
        <w:t>Eligible Director</w:t>
      </w:r>
      <w:r>
        <w:rPr>
          <w:rFonts w:ascii="Arial" w:cs="Arial" w:eastAsia="Arial" w:hAnsi="Arial"/>
          <w:sz w:val="22"/>
          <w:szCs w:val="22"/>
          <w:color w:val="auto"/>
        </w:rPr>
        <w:t>”) will receive the compensation described in this Non-Employee Director Compensation Policy (this “</w:t>
      </w:r>
      <w:r>
        <w:rPr>
          <w:rFonts w:ascii="Arial" w:cs="Arial" w:eastAsia="Arial" w:hAnsi="Arial"/>
          <w:sz w:val="22"/>
          <w:szCs w:val="22"/>
          <w:b w:val="1"/>
          <w:bCs w:val="1"/>
          <w:i w:val="1"/>
          <w:iCs w:val="1"/>
          <w:color w:val="auto"/>
        </w:rPr>
        <w:t>Policy</w:t>
      </w:r>
      <w:r>
        <w:rPr>
          <w:rFonts w:ascii="Arial" w:cs="Arial" w:eastAsia="Arial" w:hAnsi="Arial"/>
          <w:sz w:val="22"/>
          <w:szCs w:val="22"/>
          <w:color w:val="auto"/>
        </w:rPr>
        <w:t>”) for his or her Board service. This Policy first became effective commencing as of May 1, 2019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and may be amended at any time in the sole discretion of the Board or the Compensation Committee of the Board. An Eligible Director may decline all or any portion of his or her compensation by giving notice to the Company prior to the date cash may be paid or equity awards are to be granted, as the case may be.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Cash Compensation</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Each Eligible Director will be eligible to receive the annual cash compensation amounts set forth below effective upon (i) such Eligible Director’s first election or appointment to the Board, in the case of an Eligible Director not serving on the Board on the Effective Date; (ii) the Effective Date, in the case of an Eligible Director serving on the Board on the Effective Date who holds an unvested Company equity award on the Effective Date; or (iii) November 1, 2020, in the case of an Eligible Director serving on the Board on the Effective Date who does not hold an unvested Company equity award on the Effective Date (such applicable date that an Eligible Director first becomes eligible to receive annual cash compensation under this Policy, the “</w:t>
      </w:r>
      <w:r>
        <w:rPr>
          <w:rFonts w:ascii="Arial" w:cs="Arial" w:eastAsia="Arial" w:hAnsi="Arial"/>
          <w:sz w:val="22"/>
          <w:szCs w:val="22"/>
          <w:b w:val="1"/>
          <w:bCs w:val="1"/>
          <w:i w:val="1"/>
          <w:iCs w:val="1"/>
          <w:color w:val="auto"/>
        </w:rPr>
        <w:t>Eligibility</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If an Eligible Director’s Eligibility Date is other than the first day of a fiscal quarter of the Company, each annual retainer set forth below will be pro-rated based on days served in the applicable fiscal year following the Eligibility Date, with the pro-rated amount paid for the first fiscal quarter that includes the Eligibility Date and regular full quarterly payments thereafter; provided, however, that if the Eligible Director leaves service prior to the last day of a fiscal quarter, the fee for such fiscal quarter will be pro-rated. All annual cash fees are vested upon payment and are payable to such Eligible Directors (or their designee) in equal quarterly installments in arrears on the last day of each of the Company’s fiscal quarters in which the service occurred, beginning with service commencing as of the Effective Date.</w:t>
      </w:r>
    </w:p>
    <w:p>
      <w:pPr>
        <w:spacing w:after="0" w:line="211" w:lineRule="exact"/>
        <w:rPr>
          <w:sz w:val="20"/>
          <w:szCs w:val="20"/>
          <w:color w:val="auto"/>
        </w:rPr>
      </w:pPr>
    </w:p>
    <w:p>
      <w:pPr>
        <w:ind w:left="660" w:right="7600" w:hanging="4"/>
        <w:spacing w:after="0" w:line="276" w:lineRule="auto"/>
        <w:tabs>
          <w:tab w:leader="none" w:pos="87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Annual Board Service Retainer</w:t>
      </w:r>
      <w:r>
        <w:rPr>
          <w:rFonts w:ascii="Arial" w:cs="Arial" w:eastAsia="Arial" w:hAnsi="Arial"/>
          <w:sz w:val="19"/>
          <w:szCs w:val="19"/>
          <w:color w:val="auto"/>
        </w:rPr>
        <w:t>: a. All Eligible Directors: $45,000</w:t>
      </w:r>
    </w:p>
    <w:p>
      <w:pPr>
        <w:spacing w:after="0" w:line="1" w:lineRule="exact"/>
        <w:rPr>
          <w:rFonts w:ascii="Arial" w:cs="Arial" w:eastAsia="Arial" w:hAnsi="Arial"/>
          <w:sz w:val="19"/>
          <w:szCs w:val="19"/>
          <w:color w:val="auto"/>
        </w:rPr>
      </w:pPr>
    </w:p>
    <w:p>
      <w:pPr>
        <w:ind w:left="1520" w:hanging="216"/>
        <w:spacing w:after="0" w:line="230" w:lineRule="auto"/>
        <w:tabs>
          <w:tab w:leader="none" w:pos="1520" w:val="left"/>
        </w:tabs>
        <w:numPr>
          <w:ilvl w:val="1"/>
          <w:numId w:val="48"/>
        </w:numPr>
        <w:rPr>
          <w:rFonts w:ascii="Arial" w:cs="Arial" w:eastAsia="Arial" w:hAnsi="Arial"/>
          <w:sz w:val="22"/>
          <w:szCs w:val="22"/>
          <w:color w:val="auto"/>
        </w:rPr>
      </w:pPr>
      <w:r>
        <w:rPr>
          <w:rFonts w:ascii="Arial" w:cs="Arial" w:eastAsia="Arial" w:hAnsi="Arial"/>
          <w:sz w:val="22"/>
          <w:szCs w:val="22"/>
          <w:color w:val="auto"/>
        </w:rPr>
        <w:t>Chairman of the Board Service Retainer (in addition to Eligible Director Service Retainer): $20,000</w:t>
      </w:r>
    </w:p>
    <w:p>
      <w:pPr>
        <w:ind w:left="1500" w:hanging="196"/>
        <w:spacing w:after="0"/>
        <w:tabs>
          <w:tab w:leader="none" w:pos="1500" w:val="left"/>
        </w:tabs>
        <w:numPr>
          <w:ilvl w:val="1"/>
          <w:numId w:val="48"/>
        </w:numPr>
        <w:rPr>
          <w:rFonts w:ascii="Arial" w:cs="Arial" w:eastAsia="Arial" w:hAnsi="Arial"/>
          <w:sz w:val="22"/>
          <w:szCs w:val="22"/>
          <w:color w:val="auto"/>
        </w:rPr>
      </w:pPr>
      <w:r>
        <w:rPr>
          <w:rFonts w:ascii="Arial" w:cs="Arial" w:eastAsia="Arial" w:hAnsi="Arial"/>
          <w:sz w:val="22"/>
          <w:szCs w:val="22"/>
          <w:color w:val="auto"/>
        </w:rPr>
        <w:t>Lead Independent Director (in addition to Eligible Director Service Retainer): $20,000</w:t>
      </w:r>
    </w:p>
    <w:p>
      <w:pPr>
        <w:spacing w:after="0" w:line="215" w:lineRule="exact"/>
        <w:rPr>
          <w:rFonts w:ascii="Arial" w:cs="Arial" w:eastAsia="Arial" w:hAnsi="Arial"/>
          <w:sz w:val="22"/>
          <w:szCs w:val="22"/>
          <w:color w:val="auto"/>
        </w:rPr>
      </w:pPr>
    </w:p>
    <w:p>
      <w:pPr>
        <w:ind w:left="880" w:hanging="224"/>
        <w:spacing w:after="0"/>
        <w:tabs>
          <w:tab w:leader="none" w:pos="88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Annual Committee Chair Service Retainer (in addition to Committee Member Service Retainer)</w:t>
      </w:r>
      <w:r>
        <w:rPr>
          <w:rFonts w:ascii="Arial" w:cs="Arial" w:eastAsia="Arial" w:hAnsi="Arial"/>
          <w:sz w:val="22"/>
          <w:szCs w:val="22"/>
          <w:color w:val="auto"/>
        </w:rPr>
        <w:t>:</w:t>
      </w:r>
    </w:p>
    <w:p>
      <w:pPr>
        <w:ind w:left="660"/>
        <w:spacing w:after="0" w:line="238" w:lineRule="auto"/>
        <w:rPr>
          <w:sz w:val="20"/>
          <w:szCs w:val="20"/>
          <w:color w:val="auto"/>
        </w:rPr>
      </w:pPr>
      <w:r>
        <w:rPr>
          <w:rFonts w:ascii="Arial" w:cs="Arial" w:eastAsia="Arial" w:hAnsi="Arial"/>
          <w:sz w:val="22"/>
          <w:szCs w:val="22"/>
          <w:color w:val="auto"/>
        </w:rPr>
        <w:t>a. Chairman of the Audit Committee: $12,500</w:t>
      </w:r>
    </w:p>
    <w:p>
      <w:pPr>
        <w:ind w:left="660"/>
        <w:spacing w:after="0" w:line="230" w:lineRule="auto"/>
        <w:rPr>
          <w:sz w:val="20"/>
          <w:szCs w:val="20"/>
          <w:color w:val="auto"/>
        </w:rPr>
      </w:pPr>
      <w:r>
        <w:rPr>
          <w:rFonts w:ascii="Arial" w:cs="Arial" w:eastAsia="Arial" w:hAnsi="Arial"/>
          <w:sz w:val="22"/>
          <w:szCs w:val="22"/>
          <w:color w:val="auto"/>
        </w:rPr>
        <w:t>b. Chairman of the Compensation Committee: $10,000</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 Chairman of the Nominating and Corporate Governance Committee: $5,000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633" w:right="339" w:bottom="1440" w:gutter="0" w:footer="0" w:header="0"/>
        </w:sectPr>
      </w:pPr>
    </w:p>
    <w:bookmarkStart w:id="108" w:name="page109"/>
    <w:bookmarkEnd w:id="108"/>
    <w:p>
      <w:pPr>
        <w:ind w:left="10120"/>
        <w:spacing w:after="0"/>
        <w:rPr>
          <w:sz w:val="20"/>
          <w:szCs w:val="20"/>
          <w:color w:val="auto"/>
        </w:rPr>
      </w:pPr>
      <w:r>
        <w:rPr>
          <w:rFonts w:ascii="Arial" w:cs="Arial" w:eastAsia="Arial" w:hAnsi="Arial"/>
          <w:sz w:val="21"/>
          <w:szCs w:val="2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60" w:right="6380" w:hanging="4"/>
        <w:spacing w:after="0" w:line="276" w:lineRule="auto"/>
        <w:tabs>
          <w:tab w:leader="none" w:pos="87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Annual Committee Member Service Retainer</w:t>
      </w:r>
      <w:r>
        <w:rPr>
          <w:rFonts w:ascii="Arial" w:cs="Arial" w:eastAsia="Arial" w:hAnsi="Arial"/>
          <w:sz w:val="19"/>
          <w:szCs w:val="19"/>
          <w:color w:val="auto"/>
        </w:rPr>
        <w:t>: a. Member of the Audit Committee: $12,500</w:t>
      </w:r>
    </w:p>
    <w:p>
      <w:pPr>
        <w:spacing w:after="0" w:line="1" w:lineRule="exact"/>
        <w:rPr>
          <w:rFonts w:ascii="Arial" w:cs="Arial" w:eastAsia="Arial" w:hAnsi="Arial"/>
          <w:sz w:val="19"/>
          <w:szCs w:val="19"/>
          <w:color w:val="auto"/>
        </w:rPr>
      </w:pPr>
    </w:p>
    <w:p>
      <w:pPr>
        <w:ind w:left="660"/>
        <w:spacing w:after="0" w:line="230" w:lineRule="auto"/>
        <w:rPr>
          <w:rFonts w:ascii="Arial" w:cs="Arial" w:eastAsia="Arial" w:hAnsi="Arial"/>
          <w:sz w:val="19"/>
          <w:szCs w:val="19"/>
          <w:color w:val="auto"/>
        </w:rPr>
      </w:pPr>
      <w:r>
        <w:rPr>
          <w:rFonts w:ascii="Arial" w:cs="Arial" w:eastAsia="Arial" w:hAnsi="Arial"/>
          <w:sz w:val="22"/>
          <w:szCs w:val="22"/>
          <w:color w:val="auto"/>
        </w:rPr>
        <w:t>b. Member of the Compensation Committee: $10,000</w:t>
      </w:r>
    </w:p>
    <w:p>
      <w:pPr>
        <w:ind w:left="660"/>
        <w:spacing w:after="0"/>
        <w:rPr>
          <w:rFonts w:ascii="Arial" w:cs="Arial" w:eastAsia="Arial" w:hAnsi="Arial"/>
          <w:sz w:val="19"/>
          <w:szCs w:val="19"/>
          <w:color w:val="auto"/>
        </w:rPr>
      </w:pPr>
      <w:r>
        <w:rPr>
          <w:rFonts w:ascii="Arial" w:cs="Arial" w:eastAsia="Arial" w:hAnsi="Arial"/>
          <w:sz w:val="22"/>
          <w:szCs w:val="22"/>
          <w:color w:val="auto"/>
        </w:rPr>
        <w:t>c. Member of the Nominating and Corporate Governance Committee: $5,000</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equity compensation set forth below will be granted under the Company’s 2019 Equity Incentive Plan or any successor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All equity compensation granted under this Policy will be in the form of Restricted Stock Units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(as defined in the Plan). All RSUs granted under this Policy will vest in installments as described below subject to the Eligible Director’s Continuous Services (as defined in the Plan) through such vesting dates on the terms specified below; provided, however, that all RSUs granted under this Policy will accelerate and vest in full upon (i) the Eligible Director’s death or Disability (as defined in the Plan) or (ii) a Change in Control (as defined in the Plan), subject in each case to the Eligible Director’s Continuous Service through such date. The number of shares underlying each of the RSUs granted under this Policy will be determined by dividing the applicable grant value for such RSU by the 60-trading day trailing average closing stock price of the Company’s Class A common stock on Nasdaq ending on and including the date that is seven calendar days prior to the grant date of such RSU, and rounding down to the nearest whole share.</w:t>
      </w:r>
    </w:p>
    <w:p>
      <w:pPr>
        <w:spacing w:after="0" w:line="188" w:lineRule="exact"/>
        <w:rPr>
          <w:sz w:val="20"/>
          <w:szCs w:val="20"/>
          <w:color w:val="auto"/>
        </w:rPr>
      </w:pPr>
    </w:p>
    <w:p>
      <w:pPr>
        <w:jc w:val="both"/>
        <w:ind w:firstLine="8"/>
        <w:spacing w:after="0" w:line="245" w:lineRule="auto"/>
        <w:tabs>
          <w:tab w:leader="none" w:pos="216"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Initial Grant</w:t>
      </w:r>
      <w:r>
        <w:rPr>
          <w:rFonts w:ascii="Arial" w:cs="Arial" w:eastAsia="Arial" w:hAnsi="Arial"/>
          <w:sz w:val="21"/>
          <w:szCs w:val="21"/>
          <w:color w:val="auto"/>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w:t>
      </w:r>
      <w:r>
        <w:rPr>
          <w:rFonts w:ascii="Arial" w:cs="Arial" w:eastAsia="Arial" w:hAnsi="Arial"/>
          <w:sz w:val="21"/>
          <w:szCs w:val="21"/>
          <w:b w:val="1"/>
          <w:bCs w:val="1"/>
          <w:i w:val="1"/>
          <w:iCs w:val="1"/>
          <w:color w:val="auto"/>
        </w:rPr>
        <w:t>Initial Grant Date</w:t>
      </w:r>
      <w:r>
        <w:rPr>
          <w:rFonts w:ascii="Arial" w:cs="Arial" w:eastAsia="Arial" w:hAnsi="Arial"/>
          <w:sz w:val="21"/>
          <w:szCs w:val="21"/>
          <w:color w:val="auto"/>
        </w:rPr>
        <w:t>”), such Eligible Director will be automatically, and without further action by the Board or Compensation Committee of the Board, granted RSUs (the “</w:t>
      </w:r>
      <w:r>
        <w:rPr>
          <w:rFonts w:ascii="Arial" w:cs="Arial" w:eastAsia="Arial" w:hAnsi="Arial"/>
          <w:sz w:val="21"/>
          <w:szCs w:val="21"/>
          <w:b w:val="1"/>
          <w:bCs w:val="1"/>
          <w:i w:val="1"/>
          <w:iCs w:val="1"/>
          <w:color w:val="auto"/>
        </w:rPr>
        <w:t>Initial Grant RSUs</w:t>
      </w:r>
      <w:r>
        <w:rPr>
          <w:rFonts w:ascii="Arial" w:cs="Arial" w:eastAsia="Arial" w:hAnsi="Arial"/>
          <w:sz w:val="21"/>
          <w:szCs w:val="21"/>
          <w:color w:val="auto"/>
        </w:rPr>
        <w:t>”). The number of Initial Grant RSUs will be determined based on the applicable scheduled length of the term of the Eligible Director’s initial election or appointment to the Board (the “</w:t>
      </w:r>
      <w:r>
        <w:rPr>
          <w:rFonts w:ascii="Arial" w:cs="Arial" w:eastAsia="Arial" w:hAnsi="Arial"/>
          <w:sz w:val="21"/>
          <w:szCs w:val="21"/>
          <w:b w:val="1"/>
          <w:bCs w:val="1"/>
          <w:i w:val="1"/>
          <w:iCs w:val="1"/>
          <w:color w:val="auto"/>
        </w:rPr>
        <w:t>Initial Term</w:t>
      </w:r>
      <w:r>
        <w:rPr>
          <w:rFonts w:ascii="Arial" w:cs="Arial" w:eastAsia="Arial" w:hAnsi="Arial"/>
          <w:sz w:val="21"/>
          <w:szCs w:val="21"/>
          <w:color w:val="auto"/>
        </w:rPr>
        <w:t>”). The Initial Grant RSUs will have a grant value that is equal to $600,000 multiplied by the percentage obtained by dividing the total number of expected calendar days in the Initial Term by the total number of calendar days following the date of Eligible Director’s initial election or appointment to the Board through and including the third anniversary of such election or appointment date.</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Initial Grant RSUs will vest in substantially equal quarterly installments measured from the Initial Grant Date over the applicable expected Initial Term (each a “</w:t>
      </w:r>
      <w:r>
        <w:rPr>
          <w:rFonts w:ascii="Arial" w:cs="Arial" w:eastAsia="Arial" w:hAnsi="Arial"/>
          <w:sz w:val="22"/>
          <w:szCs w:val="22"/>
          <w:b w:val="1"/>
          <w:bCs w:val="1"/>
          <w:i w:val="1"/>
          <w:iCs w:val="1"/>
          <w:color w:val="auto"/>
        </w:rPr>
        <w:t>Vesting Date</w:t>
      </w:r>
      <w:r>
        <w:rPr>
          <w:rFonts w:ascii="Arial" w:cs="Arial" w:eastAsia="Arial" w:hAnsi="Arial"/>
          <w:sz w:val="22"/>
          <w:szCs w:val="22"/>
          <w:color w:val="auto"/>
        </w:rPr>
        <w:t>”), provided that, if the annual meeting of the Company’s stockholders (the “</w:t>
      </w:r>
      <w:r>
        <w:rPr>
          <w:rFonts w:ascii="Arial" w:cs="Arial" w:eastAsia="Arial" w:hAnsi="Arial"/>
          <w:sz w:val="22"/>
          <w:szCs w:val="22"/>
          <w:b w:val="1"/>
          <w:bCs w:val="1"/>
          <w:i w:val="1"/>
          <w:iCs w:val="1"/>
          <w:color w:val="auto"/>
        </w:rPr>
        <w:t>Annual Meeting</w:t>
      </w:r>
      <w:r>
        <w:rPr>
          <w:rFonts w:ascii="Arial" w:cs="Arial" w:eastAsia="Arial" w:hAnsi="Arial"/>
          <w:sz w:val="22"/>
          <w:szCs w:val="22"/>
          <w:color w:val="auto"/>
        </w:rPr>
        <w:t>”) at which the scheduled Initial Term ends occurs prior to the last scheduled quarterly Vesting Date for the Initial Grant RSUs, the Initial Grant RSUs shall become fully vested as of the day immediately preceding such Annual Meeting. Vesting of the Initial Grant RSUs is subject in all cases to the Eligible Director’s Continuous Service (as defined in the Plan) through each such applicable Vesting Date.</w:t>
      </w:r>
    </w:p>
    <w:p>
      <w:pPr>
        <w:spacing w:after="0" w:line="215" w:lineRule="exact"/>
        <w:rPr>
          <w:sz w:val="20"/>
          <w:szCs w:val="20"/>
          <w:color w:val="auto"/>
        </w:rPr>
      </w:pPr>
    </w:p>
    <w:p>
      <w:pPr>
        <w:jc w:val="both"/>
        <w:ind w:right="20" w:firstLine="8"/>
        <w:spacing w:after="0"/>
        <w:tabs>
          <w:tab w:leader="none" w:pos="216"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Interim Grant</w:t>
      </w:r>
      <w:r>
        <w:rPr>
          <w:rFonts w:ascii="Arial" w:cs="Arial" w:eastAsia="Arial" w:hAnsi="Arial"/>
          <w:sz w:val="22"/>
          <w:szCs w:val="22"/>
          <w:color w:val="auto"/>
        </w:rPr>
        <w:t>. For each Eligible Director serving on the Board who holds an unvested Company equity award on the Effective Date, on the date immediately following the date that each Company equity award that was outstanding on the Effective Date and held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633" w:right="339" w:bottom="1440" w:gutter="0" w:footer="0" w:header="0"/>
        </w:sectPr>
      </w:pPr>
    </w:p>
    <w:bookmarkStart w:id="109" w:name="page110"/>
    <w:bookmarkEnd w:id="109"/>
    <w:p>
      <w:pPr>
        <w:ind w:left="10120"/>
        <w:spacing w:after="0"/>
        <w:rPr>
          <w:sz w:val="20"/>
          <w:szCs w:val="20"/>
          <w:color w:val="auto"/>
        </w:rPr>
      </w:pPr>
      <w:r>
        <w:rPr>
          <w:rFonts w:ascii="Arial" w:cs="Arial" w:eastAsia="Arial" w:hAnsi="Arial"/>
          <w:sz w:val="21"/>
          <w:szCs w:val="21"/>
          <w:color w:val="auto"/>
        </w:rPr>
        <w:t>Exhibit 10.7</w:t>
      </w:r>
    </w:p>
    <w:p>
      <w:pPr>
        <w:spacing w:after="0" w:line="200" w:lineRule="exact"/>
        <w:rPr>
          <w:sz w:val="20"/>
          <w:szCs w:val="20"/>
          <w:color w:val="auto"/>
        </w:rPr>
      </w:pPr>
    </w:p>
    <w:p>
      <w:pPr>
        <w:spacing w:after="0" w:line="340"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Eligible Director becomes fully vested with respect to all shares subject to such equity award (the “</w:t>
      </w:r>
      <w:r>
        <w:rPr>
          <w:rFonts w:ascii="Arial" w:cs="Arial" w:eastAsia="Arial" w:hAnsi="Arial"/>
          <w:sz w:val="19"/>
          <w:szCs w:val="19"/>
          <w:b w:val="1"/>
          <w:bCs w:val="1"/>
          <w:i w:val="1"/>
          <w:iCs w:val="1"/>
          <w:color w:val="auto"/>
        </w:rPr>
        <w:t>Final Vesting Date</w:t>
      </w:r>
      <w:r>
        <w:rPr>
          <w:rFonts w:ascii="Arial" w:cs="Arial" w:eastAsia="Arial" w:hAnsi="Arial"/>
          <w:sz w:val="19"/>
          <w:szCs w:val="19"/>
          <w:color w:val="auto"/>
        </w:rPr>
        <w:t>”) (or, if such date immediately following the Final Vesting Date is not a market trading day, the first market trading day thereafter), such Eligible Director will be automatically, and without further action by the Board or Compensation Committee of the Board, granted RSUs (the “</w:t>
      </w:r>
      <w:r>
        <w:rPr>
          <w:rFonts w:ascii="Arial" w:cs="Arial" w:eastAsia="Arial" w:hAnsi="Arial"/>
          <w:sz w:val="19"/>
          <w:szCs w:val="19"/>
          <w:b w:val="1"/>
          <w:bCs w:val="1"/>
          <w:i w:val="1"/>
          <w:iCs w:val="1"/>
          <w:color w:val="auto"/>
        </w:rPr>
        <w:t>Interim Grant RSUs</w:t>
      </w:r>
      <w:r>
        <w:rPr>
          <w:rFonts w:ascii="Arial" w:cs="Arial" w:eastAsia="Arial" w:hAnsi="Arial"/>
          <w:sz w:val="19"/>
          <w:szCs w:val="19"/>
          <w:color w:val="auto"/>
        </w:rPr>
        <w:t>”) on such date (the “</w:t>
      </w:r>
      <w:r>
        <w:rPr>
          <w:rFonts w:ascii="Arial" w:cs="Arial" w:eastAsia="Arial" w:hAnsi="Arial"/>
          <w:sz w:val="19"/>
          <w:szCs w:val="19"/>
          <w:b w:val="1"/>
          <w:bCs w:val="1"/>
          <w:i w:val="1"/>
          <w:iCs w:val="1"/>
          <w:color w:val="auto"/>
        </w:rPr>
        <w:t>Interim Grant Date</w:t>
      </w:r>
      <w:r>
        <w:rPr>
          <w:rFonts w:ascii="Arial" w:cs="Arial" w:eastAsia="Arial" w:hAnsi="Arial"/>
          <w:sz w:val="19"/>
          <w:szCs w:val="19"/>
          <w:color w:val="auto"/>
        </w:rPr>
        <w:t>”). The number of Interim Grant RSUs will be determined based on the applicable scheduled remaining length of the term of the Eligible Director’s service on the Board following the Final Vesting Date (the “</w:t>
      </w:r>
      <w:r>
        <w:rPr>
          <w:rFonts w:ascii="Arial" w:cs="Arial" w:eastAsia="Arial" w:hAnsi="Arial"/>
          <w:sz w:val="19"/>
          <w:szCs w:val="19"/>
          <w:b w:val="1"/>
          <w:bCs w:val="1"/>
          <w:i w:val="1"/>
          <w:iCs w:val="1"/>
          <w:color w:val="auto"/>
        </w:rPr>
        <w:t>Interim Term</w:t>
      </w:r>
      <w:r>
        <w:rPr>
          <w:rFonts w:ascii="Arial" w:cs="Arial" w:eastAsia="Arial" w:hAnsi="Arial"/>
          <w:sz w:val="19"/>
          <w:szCs w:val="19"/>
          <w:color w:val="auto"/>
        </w:rPr>
        <w:t>”). The Interim Grant RSUs will have a grant value that is equal to $600,000 multiplied by the percentage obtained by dividing the total number of expected calendar days in the Interim Term by the total number of calendar days following the Final Vesting Date through and including the third anniversary of the Final Vesting Date.</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Interim Grant RSUs will vest in substantially equal quarterly installments measured from the Interim Grant Date over the applicable expected Interim Term (each a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provided that, if the Annual Meeting at which the scheduled Interim Term ends occurs prior to the last scheduled quarterly Vesting Date for the Interim Grant RSUs, the Interim Grant RSUs shall become fully vested as of the day immediately preceding such Annual Meeting. Vesting of the Interim Grant RSUs is subject in all cases to the Eligible Director’s Continuous Service (as defined in the Plan) through each such applicable Vesting Date.</w:t>
      </w:r>
    </w:p>
    <w:p>
      <w:pPr>
        <w:spacing w:after="0" w:line="174" w:lineRule="exact"/>
        <w:rPr>
          <w:sz w:val="20"/>
          <w:szCs w:val="20"/>
          <w:color w:val="auto"/>
        </w:rPr>
      </w:pPr>
    </w:p>
    <w:p>
      <w:pPr>
        <w:jc w:val="both"/>
        <w:ind w:firstLine="8"/>
        <w:spacing w:after="0" w:line="248" w:lineRule="auto"/>
        <w:tabs>
          <w:tab w:leader="none" w:pos="256"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Refresher Grants</w:t>
      </w:r>
      <w:r>
        <w:rPr>
          <w:rFonts w:ascii="Arial" w:cs="Arial" w:eastAsia="Arial" w:hAnsi="Arial"/>
          <w:sz w:val="21"/>
          <w:szCs w:val="21"/>
          <w:color w:val="auto"/>
        </w:rPr>
        <w:t>: On the date of each Annual Meeting held after the Effective Date, each Eligible Director who: (i) is nominated to be re-elected to the Board to serve a three-year term at such Annual Meeting (the “</w:t>
      </w:r>
      <w:r>
        <w:rPr>
          <w:rFonts w:ascii="Arial" w:cs="Arial" w:eastAsia="Arial" w:hAnsi="Arial"/>
          <w:sz w:val="21"/>
          <w:szCs w:val="21"/>
          <w:b w:val="1"/>
          <w:bCs w:val="1"/>
          <w:i w:val="1"/>
          <w:iCs w:val="1"/>
          <w:color w:val="auto"/>
        </w:rPr>
        <w:t>Re-Elected Term</w:t>
      </w:r>
      <w:r>
        <w:rPr>
          <w:rFonts w:ascii="Arial" w:cs="Arial" w:eastAsia="Arial" w:hAnsi="Arial"/>
          <w:sz w:val="21"/>
          <w:szCs w:val="21"/>
          <w:color w:val="auto"/>
        </w:rPr>
        <w:t>”), (ii) continues to serve as a non-employee member of the Board following such Annual Meeting, and (iii) does not hold any outstanding Company equity award which remains unvested with respect to any shares subject to such equity award as of the date of such Annual Meeting will be automatically, and without further action by the Board or Compensation Committee of the Board, granted RSUs (the “</w:t>
      </w:r>
      <w:r>
        <w:rPr>
          <w:rFonts w:ascii="Arial" w:cs="Arial" w:eastAsia="Arial" w:hAnsi="Arial"/>
          <w:sz w:val="21"/>
          <w:szCs w:val="21"/>
          <w:b w:val="1"/>
          <w:bCs w:val="1"/>
          <w:i w:val="1"/>
          <w:iCs w:val="1"/>
          <w:color w:val="auto"/>
        </w:rPr>
        <w:t>Refresher Grant</w:t>
      </w:r>
      <w:r>
        <w:rPr>
          <w:rFonts w:ascii="Arial" w:cs="Arial" w:eastAsia="Arial" w:hAnsi="Arial"/>
          <w:sz w:val="21"/>
          <w:szCs w:val="21"/>
          <w:color w:val="auto"/>
        </w:rPr>
        <w:t>”) with a grant value of $600,000.</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shares subject to each Refresher Grant will vest in substantially equal quarterly installments over the applicable expected Re-Elected Term (each a “</w:t>
      </w:r>
      <w:r>
        <w:rPr>
          <w:rFonts w:ascii="Arial" w:cs="Arial" w:eastAsia="Arial" w:hAnsi="Arial"/>
          <w:sz w:val="19"/>
          <w:szCs w:val="19"/>
          <w:b w:val="1"/>
          <w:bCs w:val="1"/>
          <w:i w:val="1"/>
          <w:iCs w:val="1"/>
          <w:color w:val="auto"/>
        </w:rPr>
        <w:t>Vesting Date</w:t>
      </w:r>
      <w:r>
        <w:rPr>
          <w:rFonts w:ascii="Arial" w:cs="Arial" w:eastAsia="Arial" w:hAnsi="Arial"/>
          <w:sz w:val="19"/>
          <w:szCs w:val="19"/>
          <w:color w:val="auto"/>
        </w:rPr>
        <w:t>”), provided that, if the Annual Meeting at which the scheduled Re-Elected Term ends occurs prior to the last scheduled quarterly Vesting Date for the Refresher Grant, the Refresher Grant shall become fully vested as of the day immediately preceding such Annual Meeting. Vesting of the Refresher Grant is subject in all cases to the Eligible Director’s Continuous Service (as defined in the Plan) through each such applicable vesting date.</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Compensation Limit</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Notwithstanding anything herein to the contrary, the cash compensation and equity compensation that each Eligible Director may receive under this Policy shall be subject to the limits set forth in Section 3(d)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633"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0"/>
          <w:szCs w:val="20"/>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267970</wp:posOffset>
            </wp:positionV>
            <wp:extent cx="1183005" cy="265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118300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November 2, 2020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Janet Napolitano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Via email:</w:t>
      </w:r>
    </w:p>
    <w:p>
      <w:pPr>
        <w:spacing w:after="0" w:line="200" w:lineRule="exact"/>
        <w:rPr>
          <w:sz w:val="20"/>
          <w:szCs w:val="20"/>
          <w:color w:val="auto"/>
        </w:rPr>
      </w:pPr>
    </w:p>
    <w:p>
      <w:pPr>
        <w:spacing w:after="0" w:line="25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Re:</w:t>
        <w:tab/>
        <w:t>Zoom Video Communications, Inc. Board of Directors Dear Ms. Napolitano:</w:t>
      </w:r>
    </w:p>
    <w:p>
      <w:pPr>
        <w:spacing w:after="0" w:line="82" w:lineRule="exact"/>
        <w:rPr>
          <w:sz w:val="20"/>
          <w:szCs w:val="20"/>
          <w:color w:val="auto"/>
        </w:rPr>
      </w:pPr>
    </w:p>
    <w:p>
      <w:pPr>
        <w:ind w:right="380" w:firstLine="648"/>
        <w:spacing w:after="0" w:line="287" w:lineRule="auto"/>
        <w:rPr>
          <w:sz w:val="20"/>
          <w:szCs w:val="20"/>
          <w:color w:val="auto"/>
        </w:rPr>
      </w:pPr>
      <w:r>
        <w:rPr>
          <w:rFonts w:ascii="Arial" w:cs="Arial" w:eastAsia="Arial" w:hAnsi="Arial"/>
          <w:sz w:val="18"/>
          <w:szCs w:val="18"/>
          <w:color w:val="auto"/>
        </w:rPr>
        <w:t>I am very pleased to invite you to join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Zoom Video Communications, Inc. (“</w:t>
      </w:r>
      <w:r>
        <w:rPr>
          <w:rFonts w:ascii="Arial" w:cs="Arial" w:eastAsia="Arial" w:hAnsi="Arial"/>
          <w:sz w:val="18"/>
          <w:szCs w:val="18"/>
          <w:b w:val="1"/>
          <w:bCs w:val="1"/>
          <w:color w:val="auto"/>
        </w:rPr>
        <w:t>Zoom</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We believe that you will be a great addition to the Board.</w:t>
      </w:r>
    </w:p>
    <w:p>
      <w:pPr>
        <w:spacing w:after="0" w:line="215" w:lineRule="exact"/>
        <w:rPr>
          <w:sz w:val="20"/>
          <w:szCs w:val="20"/>
          <w:color w:val="auto"/>
        </w:rPr>
      </w:pPr>
    </w:p>
    <w:p>
      <w:pPr>
        <w:ind w:right="320" w:firstLine="648"/>
        <w:spacing w:after="0" w:line="252" w:lineRule="auto"/>
        <w:rPr>
          <w:sz w:val="20"/>
          <w:szCs w:val="20"/>
          <w:color w:val="auto"/>
        </w:rPr>
      </w:pPr>
      <w:r>
        <w:rPr>
          <w:rFonts w:ascii="Arial" w:cs="Arial" w:eastAsia="Arial" w:hAnsi="Arial"/>
          <w:sz w:val="18"/>
          <w:szCs w:val="18"/>
          <w:color w:val="auto"/>
        </w:rPr>
        <w:t>As a Board member, you will participate in regularly scheduled and special Board meetings, which are expected to occur periodically during the year, meet or otherwise periodically confer with Zoom executives on an active and regular basis as requested by the Chairman of the Board, assess strategic risk exposure, and provide assistance and advisory services to Zoom’s executive team with occasional meetings, reference calls and advice on an as-needed basis. So long as you are serving on the Board, Zoom will reimburse you for your reasonable out-of-pocket expenses incurred in attending meetings of the Board, so long as you provide Zoom with appropriate receipts or other relevant documentation. You would not be an employee of Zoom and would have no authority to obligate Zoom by contract or otherwise. You will not be eligible for any employee benefits, nor will Zoom make deductions from any amounts payable to you for taxes. Any taxes shall be solely your responsibility.</w:t>
      </w:r>
    </w:p>
    <w:p>
      <w:pPr>
        <w:spacing w:after="0" w:line="232" w:lineRule="exact"/>
        <w:rPr>
          <w:sz w:val="20"/>
          <w:szCs w:val="20"/>
          <w:color w:val="auto"/>
        </w:rPr>
      </w:pPr>
    </w:p>
    <w:p>
      <w:pPr>
        <w:ind w:right="1140" w:firstLine="647"/>
        <w:spacing w:after="0" w:line="261" w:lineRule="auto"/>
        <w:rPr>
          <w:sz w:val="20"/>
          <w:szCs w:val="20"/>
          <w:color w:val="auto"/>
        </w:rPr>
      </w:pPr>
      <w:r>
        <w:rPr>
          <w:rFonts w:ascii="Arial" w:cs="Arial" w:eastAsia="Arial" w:hAnsi="Arial"/>
          <w:sz w:val="18"/>
          <w:szCs w:val="18"/>
          <w:color w:val="auto"/>
        </w:rPr>
        <w:t>Your election to the Board is as a Class III director for an initial term ending on the date of the 2022 annual meeting of stockholders (the “</w:t>
      </w:r>
      <w:r>
        <w:rPr>
          <w:rFonts w:ascii="Arial" w:cs="Arial" w:eastAsia="Arial" w:hAnsi="Arial"/>
          <w:sz w:val="18"/>
          <w:szCs w:val="18"/>
          <w:b w:val="1"/>
          <w:bCs w:val="1"/>
          <w:color w:val="auto"/>
        </w:rPr>
        <w:t>Annual Meeting</w:t>
      </w:r>
      <w:r>
        <w:rPr>
          <w:rFonts w:ascii="Arial" w:cs="Arial" w:eastAsia="Arial" w:hAnsi="Arial"/>
          <w:sz w:val="18"/>
          <w:szCs w:val="18"/>
          <w:color w:val="auto"/>
        </w:rPr>
        <w:t>”).</w:t>
      </w:r>
    </w:p>
    <w:p>
      <w:pPr>
        <w:spacing w:after="0" w:line="225"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You will be eligible to receive cash and equity compensation pursuant to Zoom’s Non-Employee Director Compensation Policy, as amended from time to time (the “</w:t>
      </w:r>
      <w:r>
        <w:rPr>
          <w:rFonts w:ascii="Arial" w:cs="Arial" w:eastAsia="Arial" w:hAnsi="Arial"/>
          <w:sz w:val="18"/>
          <w:szCs w:val="18"/>
          <w:b w:val="1"/>
          <w:bCs w:val="1"/>
          <w:color w:val="auto"/>
        </w:rPr>
        <w:t>Policy</w:t>
      </w:r>
      <w:r>
        <w:rPr>
          <w:rFonts w:ascii="Arial" w:cs="Arial" w:eastAsia="Arial" w:hAnsi="Arial"/>
          <w:sz w:val="18"/>
          <w:szCs w:val="18"/>
          <w:color w:val="auto"/>
        </w:rPr>
        <w:t>”). Under such Policy as currently in effect, as a member of the Board, you will receive an annual retainer of $30,000. If you serve on any committees of the Board, you will receive an additional annual retainer. Any committees that you will be joining will be determined on a later date.</w:t>
      </w:r>
    </w:p>
    <w:p>
      <w:pPr>
        <w:spacing w:after="0" w:line="244" w:lineRule="exact"/>
        <w:rPr>
          <w:sz w:val="20"/>
          <w:szCs w:val="20"/>
          <w:color w:val="auto"/>
        </w:rPr>
      </w:pPr>
    </w:p>
    <w:p>
      <w:pPr>
        <w:jc w:val="both"/>
        <w:ind w:right="280" w:firstLine="647"/>
        <w:spacing w:after="0" w:line="256" w:lineRule="auto"/>
        <w:rPr>
          <w:sz w:val="20"/>
          <w:szCs w:val="20"/>
          <w:color w:val="auto"/>
        </w:rPr>
      </w:pPr>
      <w:r>
        <w:rPr>
          <w:rFonts w:ascii="Arial" w:cs="Arial" w:eastAsia="Arial" w:hAnsi="Arial"/>
          <w:sz w:val="18"/>
          <w:szCs w:val="18"/>
          <w:color w:val="auto"/>
        </w:rPr>
        <w:t>Subject to the terms and conditions of the Policy, you will also be eligible to receive a restricted stock unit grant upon your initial election to the Board and a restricted stock unit grant on the date of the Annual Meeting, assuming you are re-elected to serve on the Board at such time.</w:t>
      </w:r>
    </w:p>
    <w:p>
      <w:pPr>
        <w:spacing w:after="0" w:line="229" w:lineRule="exact"/>
        <w:rPr>
          <w:sz w:val="20"/>
          <w:szCs w:val="20"/>
          <w:color w:val="auto"/>
        </w:rPr>
      </w:pPr>
    </w:p>
    <w:p>
      <w:pPr>
        <w:ind w:right="140" w:firstLine="647"/>
        <w:spacing w:after="0" w:line="252" w:lineRule="auto"/>
        <w:rPr>
          <w:sz w:val="20"/>
          <w:szCs w:val="20"/>
          <w:color w:val="auto"/>
        </w:rPr>
      </w:pPr>
      <w:r>
        <w:rPr>
          <w:rFonts w:ascii="Arial" w:cs="Arial" w:eastAsia="Arial" w:hAnsi="Arial"/>
          <w:sz w:val="18"/>
          <w:szCs w:val="18"/>
          <w:color w:val="auto"/>
        </w:rPr>
        <w:t>In your capacity as a director of Zoom, you will be expected not to use or disclose any confidential information, including, but not limited to, trade secrets of any former employer or other person or entity to whom you have an obligation of confidentiality. Rather, you will be expected to use only information that is generally known and used by persons with training and experience comparable to your own, that is common knowledge in the industry or otherwise legally in the public domain, or that is otherwise provided by Zoom. You acknowledge that as a result of your service as a director you will obtain confidential information relating to or provided by Zoom and its affiliates. During and after your service with Zoom, you will not use for your benefit or disclose confidential information, knowledge or data relating to or provided by Zoom and its affiliates. You will be entitled to indemnification for your services as a Board member in accordance with Zoom’s standard form of indemnification agreement, which is attached to this letter, and Zoom’s charter documents.</w:t>
      </w:r>
    </w:p>
    <w:p>
      <w:pPr>
        <w:spacing w:after="0" w:line="232" w:lineRule="exact"/>
        <w:rPr>
          <w:sz w:val="20"/>
          <w:szCs w:val="20"/>
          <w:color w:val="auto"/>
        </w:rPr>
      </w:pPr>
    </w:p>
    <w:p>
      <w:pPr>
        <w:ind w:right="460" w:firstLine="647"/>
        <w:spacing w:after="0" w:line="261" w:lineRule="auto"/>
        <w:rPr>
          <w:sz w:val="20"/>
          <w:szCs w:val="20"/>
          <w:color w:val="auto"/>
        </w:rPr>
      </w:pPr>
      <w:r>
        <w:rPr>
          <w:rFonts w:ascii="Arial" w:cs="Arial" w:eastAsia="Arial" w:hAnsi="Arial"/>
          <w:sz w:val="18"/>
          <w:szCs w:val="18"/>
          <w:color w:val="auto"/>
        </w:rPr>
        <w:t>This letter, along with the indemnification agreement and restricted stock unit documentation referred to herein, constitutes the entire agreement between you and Zoom. This agreement supersedes</w:t>
      </w:r>
    </w:p>
    <w:p>
      <w:pPr>
        <w:sectPr>
          <w:pgSz w:w="11900" w:h="16838" w:orient="portrait"/>
          <w:cols w:equalWidth="0" w:num="1">
            <w:col w:w="11120"/>
          </w:cols>
          <w:pgMar w:left="440" w:top="135"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0"/>
          <w:szCs w:val="20"/>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0" w:right="40"/>
        <w:spacing w:after="0" w:line="261" w:lineRule="auto"/>
        <w:rPr>
          <w:sz w:val="20"/>
          <w:szCs w:val="20"/>
          <w:color w:val="auto"/>
        </w:rPr>
      </w:pPr>
      <w:r>
        <w:rPr>
          <w:rFonts w:ascii="Arial" w:cs="Arial" w:eastAsia="Arial" w:hAnsi="Arial"/>
          <w:sz w:val="18"/>
          <w:szCs w:val="18"/>
          <w:color w:val="auto"/>
        </w:rPr>
        <w:t>any other agreements or promises made to you by anyone, whether oral or written, and it may only be modified in a writing signed by a duly authorized officer of Zoom.</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 accept this offer, please sign and return one copy of this letter to us by November 2, 2020.</w:t>
      </w:r>
    </w:p>
    <w:p>
      <w:pPr>
        <w:spacing w:after="0" w:line="252" w:lineRule="exact"/>
        <w:rPr>
          <w:sz w:val="20"/>
          <w:szCs w:val="20"/>
          <w:color w:val="auto"/>
        </w:rPr>
      </w:pPr>
    </w:p>
    <w:p>
      <w:pPr>
        <w:jc w:val="center"/>
        <w:ind w:right="1060"/>
        <w:spacing w:after="0"/>
        <w:rPr>
          <w:sz w:val="20"/>
          <w:szCs w:val="20"/>
          <w:color w:val="auto"/>
        </w:rPr>
      </w:pPr>
      <w:r>
        <w:rPr>
          <w:rFonts w:ascii="Arial" w:cs="Arial" w:eastAsia="Arial" w:hAnsi="Arial"/>
          <w:sz w:val="18"/>
          <w:szCs w:val="18"/>
          <w:color w:val="auto"/>
        </w:rPr>
        <w:t>Ms. Napolitano, we believe you will be a tremendous addition to the Board and I am excited to work with you.</w:t>
      </w:r>
    </w:p>
    <w:p>
      <w:pPr>
        <w:spacing w:after="0" w:line="9" w:lineRule="exact"/>
        <w:rPr>
          <w:sz w:val="20"/>
          <w:szCs w:val="20"/>
          <w:color w:val="auto"/>
        </w:rPr>
      </w:pPr>
    </w:p>
    <w:p>
      <w:pPr>
        <w:jc w:val="center"/>
        <w:ind w:right="1160"/>
        <w:spacing w:after="0"/>
        <w:rPr>
          <w:sz w:val="20"/>
          <w:szCs w:val="20"/>
          <w:color w:val="auto"/>
        </w:rPr>
      </w:pPr>
      <w:r>
        <w:rPr>
          <w:rFonts w:ascii="Arial" w:cs="Arial" w:eastAsia="Arial" w:hAnsi="Arial"/>
          <w:sz w:val="18"/>
          <w:szCs w:val="18"/>
          <w:color w:val="auto"/>
        </w:rPr>
        <w:t>Sincerely,</w:t>
      </w:r>
    </w:p>
    <w:p>
      <w:pPr>
        <w:spacing w:after="0" w:line="23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Zoom Video Communications, Inc.</w:t>
      </w:r>
    </w:p>
    <w:p>
      <w:pPr>
        <w:spacing w:after="0" w:line="200" w:lineRule="exact"/>
        <w:rPr>
          <w:sz w:val="20"/>
          <w:szCs w:val="20"/>
          <w:color w:val="auto"/>
        </w:rPr>
      </w:pPr>
    </w:p>
    <w:p>
      <w:pPr>
        <w:spacing w:after="0" w:line="314"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/S/ Eric Yuan</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Eric Yuan, Chairman &amp; CEO</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Accepted and Agreed:</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Janet Napolitano</w:t>
      </w:r>
    </w:p>
    <w:p>
      <w:pPr>
        <w:spacing w:after="0"/>
        <w:rPr>
          <w:sz w:val="20"/>
          <w:szCs w:val="20"/>
          <w:color w:val="auto"/>
        </w:rPr>
      </w:pPr>
      <w:r>
        <w:rPr>
          <w:rFonts w:ascii="Arial" w:cs="Arial" w:eastAsia="Arial" w:hAnsi="Arial"/>
          <w:sz w:val="20"/>
          <w:szCs w:val="20"/>
          <w:color w:val="auto"/>
        </w:rPr>
        <w:t>Janet Napolitano</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Date: Oct.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-22860</wp:posOffset>
            </wp:positionV>
            <wp:extent cx="7893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789305" cy="889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color w:val="auto"/>
        </w:rPr>
        <w:t>Exhibit 10.21</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Zoom Video Communications,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Officer Incentive Plan</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Zoom Video Communications, Inc. Officer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is designed to provide incentives to participating employees to make important contributions to the success of Zoom Video Communications, Inc. (the “</w:t>
      </w:r>
      <w:r>
        <w:rPr>
          <w:rFonts w:ascii="Arial" w:cs="Arial" w:eastAsia="Arial" w:hAnsi="Arial"/>
          <w:sz w:val="22"/>
          <w:szCs w:val="22"/>
          <w:b w:val="1"/>
          <w:bCs w:val="1"/>
          <w:i w:val="1"/>
          <w:iCs w:val="1"/>
          <w:color w:val="auto"/>
        </w:rPr>
        <w:t>Company</w:t>
      </w:r>
      <w:r>
        <w:rPr>
          <w:rFonts w:ascii="Arial" w:cs="Arial" w:eastAsia="Arial" w:hAnsi="Arial"/>
          <w:sz w:val="22"/>
          <w:szCs w:val="22"/>
          <w:i w:val="1"/>
          <w:iCs w:val="1"/>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and reward such employees for outstanding performance. The Plan is also intended to enhance the ability of the Company to attract and retain highly talented individuals.</w:t>
      </w:r>
    </w:p>
    <w:p>
      <w:pPr>
        <w:spacing w:after="0" w:line="182"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p>
    <w:p>
      <w:pPr>
        <w:spacing w:after="0" w:line="22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Plan will be administered by the Compensation Committee (the “</w:t>
      </w:r>
      <w:r>
        <w:rPr>
          <w:rFonts w:ascii="Arial" w:cs="Arial" w:eastAsia="Arial" w:hAnsi="Arial"/>
          <w:sz w:val="19"/>
          <w:szCs w:val="19"/>
          <w:b w:val="1"/>
          <w:bCs w:val="1"/>
          <w:i w:val="1"/>
          <w:iCs w:val="1"/>
          <w:color w:val="auto"/>
        </w:rPr>
        <w:t>Plan Administrator</w:t>
      </w:r>
      <w:r>
        <w:rPr>
          <w:rFonts w:ascii="Arial" w:cs="Arial" w:eastAsia="Arial" w:hAnsi="Arial"/>
          <w:sz w:val="19"/>
          <w:szCs w:val="19"/>
          <w:color w:val="auto"/>
        </w:rPr>
        <w:t>”)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the Company. The Plan Administrator will have the sole discretion and authority to administer and interpret the Plan, and the decisions of the Plan Administrator will in every case be final and binding on all persons having an interest in the Plan.</w:t>
      </w:r>
    </w:p>
    <w:p>
      <w:pPr>
        <w:spacing w:after="0" w:line="127"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w:t>
      </w:r>
    </w:p>
    <w:p>
      <w:pPr>
        <w:spacing w:after="0" w:line="219" w:lineRule="exact"/>
        <w:rPr>
          <w:rFonts w:ascii="Arial" w:cs="Arial" w:eastAsia="Arial" w:hAnsi="Arial"/>
          <w:sz w:val="22"/>
          <w:szCs w:val="22"/>
          <w:b w:val="1"/>
          <w:bCs w:val="1"/>
          <w:color w:val="auto"/>
        </w:rPr>
      </w:pPr>
    </w:p>
    <w:p>
      <w:pPr>
        <w:ind w:left="1300" w:hanging="644"/>
        <w:spacing w:after="0"/>
        <w:tabs>
          <w:tab w:leader="none" w:pos="1300" w:val="left"/>
        </w:tabs>
        <w:numPr>
          <w:ilvl w:val="1"/>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Participation</w:t>
      </w:r>
    </w:p>
    <w:p>
      <w:pPr>
        <w:spacing w:after="0" w:line="226"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Each employee of the Company who (i) is an “officer” of the Company (within the meaning of Section 16 of the Securities Exchange Act of 1934, as amended, and Rule 16a-1 thereunder); and (ii) has a written offer letter or other written agreement with the Company that provides for such employee’s Target Award (as defined in Section 4 below) and eligibility in the Plan or has a written agreement with the Company that provides that such employee is eligible to participate in the Company’s Sales Compensation Plan, is eligible to participate in the Plan and shall be considered a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in the Plan. Unless otherwise specified by the Plan Administrator or expressly provided in a written agreement between a Participant and the Company, an individual who commences employment with the Company during an applicable performance period may become a Participant for such performance period, commencing on the date such individual commences employment with the Company (provided such individual meets all other eligibility criteria for participation in the Plan), and will receive a pro-rated Target Award (as defined below) for such initial performance period.</w:t>
      </w:r>
    </w:p>
    <w:p>
      <w:pPr>
        <w:spacing w:after="0" w:line="200" w:lineRule="exact"/>
        <w:rPr>
          <w:sz w:val="20"/>
          <w:szCs w:val="20"/>
          <w:color w:val="auto"/>
        </w:rPr>
      </w:pPr>
    </w:p>
    <w:p>
      <w:pPr>
        <w:spacing w:after="0" w:line="207"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Awards</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Participant in a performance period will be granted an award of a contingent right to a future payment under the Plan (an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for such performance period, which will be paid contingent upon achievement of applicable performance goals established by the Plan Administrator for the applicable performance period and earned upon satisfaction of all applicable conditions for earning such Awards.</w:t>
      </w:r>
    </w:p>
    <w:p>
      <w:pPr>
        <w:spacing w:after="0" w:line="182"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Award Payments</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In order to be eligible to receive payment of an Award, unless otherwise expressly provided by the Plan Administrator or required by applicable law, a Participant must meet the following criteria: (A) continue to be employed with the Company from the date his or her participation in the Plan commences for the applicable performance period through the date the Award is paid; and (B) comply with any rules of the Plan established by the Plan Administrator. If a Participant ceases to be an Officer during a performance period but continues to be an employee through the date the Award is paid and otherwise is eligible to receive payment of an Award, such individual’s Award may be adjusted as determined appropriate by the Plan Administrator. There is no guarantee for any payment of an Award under the Plan. Awards are paid as advances and not earned until no</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1.</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244699875 v1</w:t>
      </w:r>
    </w:p>
    <w:p>
      <w:pPr>
        <w:sectPr>
          <w:pgSz w:w="11900" w:h="16838" w:orient="portrait"/>
          <w:cols w:equalWidth="0" w:num="1">
            <w:col w:w="11240"/>
          </w:cols>
          <w:pgMar w:left="320" w:top="132" w:right="339" w:bottom="1440"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32" w:right="339" w:bottom="1440" w:gutter="0" w:footer="0" w:header="0"/>
          <w:type w:val="continuous"/>
        </w:sectPr>
      </w:pPr>
    </w:p>
    <w:bookmarkStart w:id="113" w:name="page114"/>
    <w:bookmarkEnd w:id="113"/>
    <w:p>
      <w:pPr>
        <w:spacing w:after="0" w:line="263" w:lineRule="auto"/>
        <w:rPr>
          <w:sz w:val="20"/>
          <w:szCs w:val="20"/>
          <w:color w:val="auto"/>
        </w:rPr>
      </w:pPr>
      <w:r>
        <w:rPr>
          <w:rFonts w:ascii="Arial" w:cs="Arial" w:eastAsia="Arial" w:hAnsi="Arial"/>
          <w:sz w:val="22"/>
          <w:szCs w:val="22"/>
          <w:color w:val="auto"/>
        </w:rPr>
        <w:t>longer subject to recoupment in accordance with the Clawback Provisions described in Section 6(h) below, unless prohibited by applicable law.</w:t>
      </w:r>
    </w:p>
    <w:p>
      <w:pPr>
        <w:spacing w:after="0" w:line="169"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Method for Establishing and Determining Awards</w:t>
      </w:r>
    </w:p>
    <w:p>
      <w:pPr>
        <w:spacing w:after="0" w:line="219" w:lineRule="exact"/>
        <w:rPr>
          <w:rFonts w:ascii="Arial" w:cs="Arial" w:eastAsia="Arial" w:hAnsi="Arial"/>
          <w:sz w:val="22"/>
          <w:szCs w:val="22"/>
          <w:b w:val="1"/>
          <w:bCs w:val="1"/>
          <w:color w:val="auto"/>
        </w:rPr>
      </w:pPr>
    </w:p>
    <w:p>
      <w:pPr>
        <w:ind w:left="1300" w:hanging="644"/>
        <w:spacing w:after="0"/>
        <w:tabs>
          <w:tab w:leader="none" w:pos="1300" w:val="left"/>
        </w:tabs>
        <w:numPr>
          <w:ilvl w:val="1"/>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Establishment of Target Awards</w:t>
      </w:r>
    </w:p>
    <w:p>
      <w:pPr>
        <w:spacing w:after="0" w:line="22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For each performance period, each Participant shall have a target award opportunity under the Plan (“</w:t>
      </w:r>
      <w:r>
        <w:rPr>
          <w:rFonts w:ascii="Arial" w:cs="Arial" w:eastAsia="Arial" w:hAnsi="Arial"/>
          <w:sz w:val="21"/>
          <w:szCs w:val="21"/>
          <w:b w:val="1"/>
          <w:bCs w:val="1"/>
          <w:i w:val="1"/>
          <w:iCs w:val="1"/>
          <w:color w:val="auto"/>
        </w:rPr>
        <w:t>Target Award</w:t>
      </w:r>
      <w:r>
        <w:rPr>
          <w:rFonts w:ascii="Arial" w:cs="Arial" w:eastAsia="Arial" w:hAnsi="Arial"/>
          <w:sz w:val="21"/>
          <w:szCs w:val="21"/>
          <w:color w:val="auto"/>
        </w:rPr>
        <w:t>”), expressed in such Participant’s offer letter with the Company or otherwise in writing and approved by the Plan Administrator, as a percentage of such Participant’s Base Salary earned during such performance period, as a set dollar amount or in such other form as specified in writing and approved by the Plan Administrator. The Plan Administrator is not obligated to treat all Plan Participants similarly. For purposes of the Plan, unless otherwise determined by the Plan Administrator, “</w:t>
      </w:r>
      <w:r>
        <w:rPr>
          <w:rFonts w:ascii="Arial" w:cs="Arial" w:eastAsia="Arial" w:hAnsi="Arial"/>
          <w:sz w:val="21"/>
          <w:szCs w:val="21"/>
          <w:b w:val="1"/>
          <w:bCs w:val="1"/>
          <w:i w:val="1"/>
          <w:iCs w:val="1"/>
          <w:color w:val="auto"/>
        </w:rPr>
        <w:t>Base Salary</w:t>
      </w:r>
      <w:r>
        <w:rPr>
          <w:rFonts w:ascii="Arial" w:cs="Arial" w:eastAsia="Arial" w:hAnsi="Arial"/>
          <w:sz w:val="21"/>
          <w:szCs w:val="21"/>
          <w:color w:val="auto"/>
        </w:rPr>
        <w:t>” for a Participant means the total amount of base salary or base wages earned by such Participant during the applicable performance period while such individual is a Participant. Base Salary does not include any bonuses, commissions or other incentive compensation, amounts received or otherwise recognized in connection with equity awards, expense reimbursements, relocation payments, overtime or shift differential payments, contributions made by the Company under any employee benefit plan, the value of any employee benefits or perquisites paid for by the Company, or any other similar items of compensation. Base Salary will be determined before any deductions for taxes or benefits and deferrals of compensation pursuant to any Company-sponsored plan.</w:t>
      </w:r>
    </w:p>
    <w:p>
      <w:pPr>
        <w:spacing w:after="0" w:line="185"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Establishment of Performance Periods</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Plan Administrator will establish the applicable performance periods during which actual performance will be measured against the performance goals established by the Plan Administrator to determine the Participant’s potential Award. Performance periods will generally be established by the Plan Administrator in reference to the Company’s fiscal year and may consist of a single fiscal year, multiple fiscal years, or one or more portions of a fiscal year.</w:t>
      </w:r>
    </w:p>
    <w:p>
      <w:pPr>
        <w:spacing w:after="0" w:line="169"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Establishment of Performance Goals</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With respect to each performance period, the Plan Administrator will establish the following for each Participant: (i) one or more performance goals (which may be corporate performance goals and/or individual performance goals) and (ii) the relative weights, if any, of such performance goals and (iii) such other terms and conditions of the Award, if any, the Plan Administrator determines appropriate in its discretion (and in accordance with the terms of the Plan). The Plan Administrator will make such determinations under this Section 5(c) at the times and in the manner determined appropriate in its sole discretion and is not obligated to treat all Plan Participants similarly.</w:t>
      </w:r>
    </w:p>
    <w:p>
      <w:pPr>
        <w:spacing w:after="0" w:line="187"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Evaluation of Performance Results</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Following the end of each performance period, the Plan Administrator will determine whether (and to what extent) the performance goals established for such performance period have been achieved.</w:t>
      </w:r>
    </w:p>
    <w:p>
      <w:pPr>
        <w:spacing w:after="0" w:line="169"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Determination of Actual Awards</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For each performance period, the Plan Administrator will determine the amount of any actual Award for each Participant (which may be below, at or above the applicable Target Award) based on (i) the extent to which the performance goals established for such performance period have been achieved (and any relative weighting of such performance goals), (ii) such Participant’s Target Award, and (iii) if and the extent to which any and all other conditions for a Participant to earn and receive an Award have been met. Notwithstanding the foregoing, in determining the amount of any actual Award for any Participant, the Plan Administrator will have the</w:t>
      </w:r>
    </w:p>
    <w:p>
      <w:pPr>
        <w:sectPr>
          <w:pgSz w:w="11900" w:h="16838" w:orient="portrait"/>
          <w:cols w:equalWidth="0" w:num="1">
            <w:col w:w="11240"/>
          </w:cols>
          <w:pgMar w:left="320" w:top="780" w:right="3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780" w:right="339" w:bottom="1440" w:gutter="0" w:footer="0" w:header="0"/>
          <w:type w:val="continuous"/>
        </w:sectPr>
      </w:pPr>
    </w:p>
    <w:bookmarkStart w:id="114" w:name="page115"/>
    <w:bookmarkEnd w:id="114"/>
    <w:p>
      <w:pPr>
        <w:jc w:val="both"/>
        <w:spacing w:after="0" w:line="263" w:lineRule="auto"/>
        <w:rPr>
          <w:sz w:val="20"/>
          <w:szCs w:val="20"/>
          <w:color w:val="auto"/>
        </w:rPr>
      </w:pPr>
      <w:r>
        <w:rPr>
          <w:rFonts w:ascii="Arial" w:cs="Arial" w:eastAsia="Arial" w:hAnsi="Arial"/>
          <w:sz w:val="21"/>
          <w:szCs w:val="21"/>
          <w:color w:val="auto"/>
        </w:rPr>
        <w:t>discretion to reduce the amount of any actual Award below the amount calculated under the terms of the Plan, including to zero, or increase the amount of any actual Award above the amount calculated under the terms of the Plan. In making such determination the Plan Administrator may take into consideration such other factors as it determines appropriate, in its sole discretion, including the Participant’s individual performance. Awards will additionally be subject to any maximum payout limitation approved by the Plan Administrator for the applicable performance period.</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Unless otherwise determined by the Plan Administrator or required by applicable law: (i) any Participant who switches from full-time to part-time employment during the performance period will have his or her actual Award reduced on a pro-rata basis based upon the applicable percentage of full-time equivalent employment that was in effect on an aggregate basis during the performance period and (ii) no adjustment will be made to the determined amount of an actual Award for any Participant due to any reduction in the percentage of full-time equivalent employment of a Participant that occurs after expiration of the performance period and prior to determination of the actual Award.</w:t>
      </w:r>
    </w:p>
    <w:p>
      <w:pPr>
        <w:spacing w:after="0" w:line="17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Unless prohibited by applicable law or otherwise determined by the Plan Administrator: (i) any Participant who is absent due to an approved leave of absence during the performance period, and who otherwise is eligible to receive and earns an actual Award for such performance period, will have his or her actual Award reduced on a pro-rata basis based upon the applicable period of active employment during the performance period and (ii) no adjustment will be made to the determined amount of an actual Award for any Participant due to any leave of absence that commences after expiration of the performance period and prior to determination of the actual Award.</w:t>
      </w:r>
    </w:p>
    <w:p>
      <w:pPr>
        <w:spacing w:after="0" w:line="187"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Payment of Awards</w:t>
      </w:r>
    </w:p>
    <w:p>
      <w:pPr>
        <w:spacing w:after="0" w:line="226"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Following, and subject to, the Plan Administrator’s determination of actual Awards for a performance period, the Plan Administrator will approve the payment of Awards for such performance period, subject to satisfaction of any continued services or additional conditions established by the Plan Administrator to receive the Award. Payment of Awards under the Plan will be made as soon as practicable after such approval or satisfaction of such conditions, as applicable. However, Awards are not earned until no longer subject to recovery pursuant to the Clawback Provisions described in Section 6(h) below, unless prohibited by applicable law. As a result, the Company pays Awards in advance of the Participant’s earning of the Award, and such advances are subject to recovery pursuant to the Clawback Provisions described in Section 6(h) below.</w:t>
      </w:r>
    </w:p>
    <w:p>
      <w:pPr>
        <w:spacing w:after="0" w:line="15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All Awards made under the Plan will be paid in the form of cash or, if approved by the Board or the Committee, an equity award under the Company’s 2019 Equity Incentive Plan (or any successor thereto), as determined by the Plan Administrator in its sole discretion. The terms and conditions of any such equity award will be determined by the Plan Administrator in its sole discretion.</w:t>
      </w:r>
    </w:p>
    <w:p>
      <w:pPr>
        <w:spacing w:after="0" w:line="127"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19" w:lineRule="exact"/>
        <w:rPr>
          <w:rFonts w:ascii="Arial" w:cs="Arial" w:eastAsia="Arial" w:hAnsi="Arial"/>
          <w:sz w:val="22"/>
          <w:szCs w:val="22"/>
          <w:b w:val="1"/>
          <w:bCs w:val="1"/>
          <w:color w:val="auto"/>
        </w:rPr>
      </w:pPr>
    </w:p>
    <w:p>
      <w:pPr>
        <w:jc w:val="both"/>
        <w:ind w:firstLine="656"/>
        <w:spacing w:after="0" w:line="264" w:lineRule="auto"/>
        <w:tabs>
          <w:tab w:leader="none" w:pos="1291" w:val="left"/>
        </w:tabs>
        <w:numPr>
          <w:ilvl w:val="1"/>
          <w:numId w:val="6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Withholding of Compensation. </w:t>
      </w:r>
      <w:r>
        <w:rPr>
          <w:rFonts w:ascii="Arial" w:cs="Arial" w:eastAsia="Arial" w:hAnsi="Arial"/>
          <w:sz w:val="21"/>
          <w:szCs w:val="21"/>
          <w:color w:val="auto"/>
        </w:rPr>
        <w:t>The Company will deduct and withhold from any amounts payable to</w:t>
      </w:r>
      <w:r>
        <w:rPr>
          <w:rFonts w:ascii="Arial" w:cs="Arial" w:eastAsia="Arial" w:hAnsi="Arial"/>
          <w:sz w:val="21"/>
          <w:szCs w:val="21"/>
          <w:b w:val="1"/>
          <w:bCs w:val="1"/>
          <w:color w:val="auto"/>
        </w:rPr>
        <w:t xml:space="preserve"> </w:t>
      </w:r>
      <w:r>
        <w:rPr>
          <w:rFonts w:ascii="Arial" w:cs="Arial" w:eastAsia="Arial" w:hAnsi="Arial"/>
          <w:sz w:val="21"/>
          <w:szCs w:val="21"/>
          <w:color w:val="auto"/>
        </w:rPr>
        <w:t>Participants under the Plan any amounts required to be deducted and withheld by the Company under the provisions of any applicable federal, state, local or foreign statute, law, regulation, ordinance or order. The Company reserves the right to require a Participant to satisfy such deduction and withholding obligation in such manner as specified by the Company under applicable law, in the event that amounts payable to Participants under the Plan are not paid in the form of cash.</w:t>
      </w:r>
    </w:p>
    <w:p>
      <w:pPr>
        <w:spacing w:after="0" w:line="170" w:lineRule="exact"/>
        <w:rPr>
          <w:rFonts w:ascii="Arial" w:cs="Arial" w:eastAsia="Arial" w:hAnsi="Arial"/>
          <w:sz w:val="21"/>
          <w:szCs w:val="21"/>
          <w:b w:val="1"/>
          <w:bCs w:val="1"/>
          <w:color w:val="auto"/>
        </w:rPr>
      </w:pPr>
    </w:p>
    <w:p>
      <w:pPr>
        <w:ind w:firstLine="656"/>
        <w:spacing w:after="0" w:line="269" w:lineRule="auto"/>
        <w:tabs>
          <w:tab w:leader="none" w:pos="1290" w:val="left"/>
        </w:tabs>
        <w:numPr>
          <w:ilvl w:val="1"/>
          <w:numId w:val="6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Plan Funding. </w:t>
      </w:r>
      <w:r>
        <w:rPr>
          <w:rFonts w:ascii="Arial" w:cs="Arial" w:eastAsia="Arial" w:hAnsi="Arial"/>
          <w:sz w:val="22"/>
          <w:szCs w:val="22"/>
          <w:color w:val="auto"/>
        </w:rPr>
        <w:t>The Plan will be unfunded. Nothing contained in the Plan will be deemed to require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to deposit, invest or set aside amounts for the payment of any Awards under the Plan.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780" w:right="339" w:bottom="1440" w:gutter="0" w:footer="0" w:header="0"/>
        </w:sectPr>
      </w:pPr>
    </w:p>
    <w:bookmarkStart w:id="115" w:name="page116"/>
    <w:bookmarkEnd w:id="115"/>
    <w:p>
      <w:pPr>
        <w:ind w:firstLine="656"/>
        <w:spacing w:after="0" w:line="269" w:lineRule="auto"/>
        <w:tabs>
          <w:tab w:leader="none" w:pos="1293"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or Termination of the Plan. </w:t>
      </w:r>
      <w:r>
        <w:rPr>
          <w:rFonts w:ascii="Arial" w:cs="Arial" w:eastAsia="Arial" w:hAnsi="Arial"/>
          <w:sz w:val="22"/>
          <w:szCs w:val="22"/>
          <w:color w:val="auto"/>
        </w:rPr>
        <w:t>The Plan may be amended or terminated at any time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Committee or the Board.</w:t>
      </w:r>
    </w:p>
    <w:p>
      <w:pPr>
        <w:spacing w:after="0" w:line="161" w:lineRule="exact"/>
        <w:rPr>
          <w:rFonts w:ascii="Arial" w:cs="Arial" w:eastAsia="Arial" w:hAnsi="Arial"/>
          <w:sz w:val="22"/>
          <w:szCs w:val="22"/>
          <w:b w:val="1"/>
          <w:bCs w:val="1"/>
          <w:color w:val="auto"/>
        </w:rPr>
      </w:pPr>
    </w:p>
    <w:p>
      <w:pPr>
        <w:jc w:val="both"/>
        <w:ind w:firstLine="656"/>
        <w:spacing w:after="0" w:line="252" w:lineRule="auto"/>
        <w:tabs>
          <w:tab w:leader="none" w:pos="129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Guarantee of Continued Service. </w:t>
      </w:r>
      <w:r>
        <w:rPr>
          <w:rFonts w:ascii="Arial" w:cs="Arial" w:eastAsia="Arial" w:hAnsi="Arial"/>
          <w:sz w:val="22"/>
          <w:szCs w:val="22"/>
          <w:color w:val="auto"/>
        </w:rPr>
        <w:t>The Plan will not confer any rights upon an employee to remain in service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Company or any affiliate of the Company for any specific duration or interfere with or otherwise restrict in any way the rights of the Company or any affiliate of the Company to terminate an employee’s service with the Company (or affiliate, if applicable) for any reason, with or without cause or advance notice.</w:t>
      </w:r>
    </w:p>
    <w:p>
      <w:pPr>
        <w:spacing w:after="0" w:line="179" w:lineRule="exact"/>
        <w:rPr>
          <w:rFonts w:ascii="Arial" w:cs="Arial" w:eastAsia="Arial" w:hAnsi="Arial"/>
          <w:sz w:val="22"/>
          <w:szCs w:val="22"/>
          <w:b w:val="1"/>
          <w:bCs w:val="1"/>
          <w:color w:val="auto"/>
        </w:rPr>
      </w:pPr>
    </w:p>
    <w:p>
      <w:pPr>
        <w:jc w:val="both"/>
        <w:ind w:firstLine="656"/>
        <w:spacing w:after="0" w:line="252" w:lineRule="auto"/>
        <w:tabs>
          <w:tab w:leader="none" w:pos="1293"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Assignment or Transfer. </w:t>
      </w:r>
      <w:r>
        <w:rPr>
          <w:rFonts w:ascii="Arial" w:cs="Arial" w:eastAsia="Arial" w:hAnsi="Arial"/>
          <w:sz w:val="22"/>
          <w:szCs w:val="22"/>
          <w:color w:val="auto"/>
        </w:rPr>
        <w:t>None of the rights, benefits, obligations or duties under the Plan may be assigned or</w:t>
      </w:r>
      <w:r>
        <w:rPr>
          <w:rFonts w:ascii="Arial" w:cs="Arial" w:eastAsia="Arial" w:hAnsi="Arial"/>
          <w:sz w:val="22"/>
          <w:szCs w:val="22"/>
          <w:b w:val="1"/>
          <w:bCs w:val="1"/>
          <w:color w:val="auto"/>
        </w:rPr>
        <w:t xml:space="preserve"> </w:t>
      </w:r>
      <w:r>
        <w:rPr>
          <w:rFonts w:ascii="Arial" w:cs="Arial" w:eastAsia="Arial" w:hAnsi="Arial"/>
          <w:sz w:val="22"/>
          <w:szCs w:val="22"/>
          <w:color w:val="auto"/>
        </w:rPr>
        <w:t>transferred by any individual employee or Participant. Any purported assignment or transfer by any employee or Participant will be void. Participation in the Plan does not give any individual any ownership, security, or other rights in any assets of the Company.</w:t>
      </w:r>
    </w:p>
    <w:p>
      <w:pPr>
        <w:spacing w:after="0" w:line="179" w:lineRule="exact"/>
        <w:rPr>
          <w:rFonts w:ascii="Arial" w:cs="Arial" w:eastAsia="Arial" w:hAnsi="Arial"/>
          <w:sz w:val="22"/>
          <w:szCs w:val="22"/>
          <w:b w:val="1"/>
          <w:bCs w:val="1"/>
          <w:color w:val="auto"/>
        </w:rPr>
      </w:pPr>
    </w:p>
    <w:p>
      <w:pPr>
        <w:ind w:firstLine="656"/>
        <w:spacing w:after="0" w:line="269" w:lineRule="auto"/>
        <w:tabs>
          <w:tab w:leader="none" w:pos="1296"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Validity. </w:t>
      </w:r>
      <w:r>
        <w:rPr>
          <w:rFonts w:ascii="Arial" w:cs="Arial" w:eastAsia="Arial" w:hAnsi="Arial"/>
          <w:sz w:val="22"/>
          <w:szCs w:val="22"/>
          <w:color w:val="auto"/>
        </w:rPr>
        <w:t>In the event any provision of the Plan is held invalid, void, or unenforceable, the same will not affect, in</w:t>
      </w:r>
      <w:r>
        <w:rPr>
          <w:rFonts w:ascii="Arial" w:cs="Arial" w:eastAsia="Arial" w:hAnsi="Arial"/>
          <w:sz w:val="22"/>
          <w:szCs w:val="22"/>
          <w:b w:val="1"/>
          <w:bCs w:val="1"/>
          <w:color w:val="auto"/>
        </w:rPr>
        <w:t xml:space="preserve"> </w:t>
      </w:r>
      <w:r>
        <w:rPr>
          <w:rFonts w:ascii="Arial" w:cs="Arial" w:eastAsia="Arial" w:hAnsi="Arial"/>
          <w:sz w:val="22"/>
          <w:szCs w:val="22"/>
          <w:color w:val="auto"/>
        </w:rPr>
        <w:t>any respect whatsoever, the validity of any other provision of the Plan.</w:t>
      </w:r>
    </w:p>
    <w:p>
      <w:pPr>
        <w:spacing w:after="0" w:line="161" w:lineRule="exact"/>
        <w:rPr>
          <w:rFonts w:ascii="Arial" w:cs="Arial" w:eastAsia="Arial" w:hAnsi="Arial"/>
          <w:sz w:val="22"/>
          <w:szCs w:val="22"/>
          <w:b w:val="1"/>
          <w:bCs w:val="1"/>
          <w:color w:val="auto"/>
        </w:rPr>
      </w:pPr>
    </w:p>
    <w:p>
      <w:pPr>
        <w:jc w:val="both"/>
        <w:ind w:firstLine="656"/>
        <w:spacing w:after="0" w:line="248" w:lineRule="auto"/>
        <w:tabs>
          <w:tab w:leader="none" w:pos="1291"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Documents. </w:t>
      </w:r>
      <w:r>
        <w:rPr>
          <w:rFonts w:ascii="Arial" w:cs="Arial" w:eastAsia="Arial" w:hAnsi="Arial"/>
          <w:sz w:val="22"/>
          <w:szCs w:val="22"/>
          <w:color w:val="auto"/>
        </w:rPr>
        <w:t>Each Award under the Plan shall be governed by the provisions of the Plan as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herein. This Plan contains the entire agreement between the Company and each Participant on this subject, and supersedes all prior bonus compensation plans or programs of the Company and all other previous oral or written statements regarding any such bonus compensation programs or plans. If the Participant receives an Award under the Company’s Sales Compensation Plan, such Award and the written terms of such Sales Compensation Plan, shall be considered granted under and subject to the terms of this Plan.</w:t>
      </w:r>
    </w:p>
    <w:p>
      <w:pPr>
        <w:spacing w:after="0" w:line="186" w:lineRule="exact"/>
        <w:rPr>
          <w:rFonts w:ascii="Arial" w:cs="Arial" w:eastAsia="Arial" w:hAnsi="Arial"/>
          <w:sz w:val="22"/>
          <w:szCs w:val="22"/>
          <w:b w:val="1"/>
          <w:bCs w:val="1"/>
          <w:color w:val="auto"/>
        </w:rPr>
      </w:pPr>
    </w:p>
    <w:p>
      <w:pPr>
        <w:jc w:val="both"/>
        <w:ind w:firstLine="656"/>
        <w:spacing w:after="0" w:line="259" w:lineRule="auto"/>
        <w:tabs>
          <w:tab w:leader="none" w:pos="1290"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color w:val="auto"/>
        </w:rPr>
        <w:t>Clawback/Recovery</w:t>
      </w:r>
      <w:r>
        <w:rPr>
          <w:rFonts w:ascii="Arial" w:cs="Arial" w:eastAsia="Arial" w:hAnsi="Arial"/>
          <w:sz w:val="21"/>
          <w:szCs w:val="21"/>
          <w:color w:val="auto"/>
        </w:rPr>
        <w:t>. All Awards and payouts under the Plan will be subject to recoupment in accordance with</w:t>
      </w:r>
      <w:r>
        <w:rPr>
          <w:rFonts w:ascii="Arial" w:cs="Arial" w:eastAsia="Arial" w:hAnsi="Arial"/>
          <w:sz w:val="21"/>
          <w:szCs w:val="21"/>
          <w:b w:val="1"/>
          <w:bCs w:val="1"/>
          <w:color w:val="auto"/>
        </w:rPr>
        <w:t xml:space="preserve"> </w:t>
      </w:r>
      <w:r>
        <w:rPr>
          <w:rFonts w:ascii="Arial" w:cs="Arial" w:eastAsia="Arial" w:hAnsi="Arial"/>
          <w:sz w:val="21"/>
          <w:szCs w:val="21"/>
          <w:color w:val="auto"/>
        </w:rPr>
        <w:t>the following provisions, as applicable (the “</w:t>
      </w:r>
      <w:r>
        <w:rPr>
          <w:rFonts w:ascii="Arial" w:cs="Arial" w:eastAsia="Arial" w:hAnsi="Arial"/>
          <w:sz w:val="21"/>
          <w:szCs w:val="21"/>
          <w:b w:val="1"/>
          <w:bCs w:val="1"/>
          <w:i w:val="1"/>
          <w:iCs w:val="1"/>
          <w:color w:val="auto"/>
        </w:rPr>
        <w:t>Clawback Provisions</w:t>
      </w:r>
      <w:r>
        <w:rPr>
          <w:rFonts w:ascii="Arial" w:cs="Arial" w:eastAsia="Arial" w:hAnsi="Arial"/>
          <w:sz w:val="21"/>
          <w:szCs w:val="21"/>
          <w:color w:val="auto"/>
        </w:rPr>
        <w:t>”): (i) the Zoom Video Communications, Inc. Incentive Compensation Recoupment Policy, (ii) any clawback policy that the Company (x) is required to adopt pursuant to the listing standards of any national securities exchange or association on which the Company’s securities are listed or as is otherwise required by the Dodd-Frank Wall Street Reform and Consumer Protection Act or other applicable law and (y) otherwise voluntarily adopts, to the extent applicable and permissible under applicable law; and (iii) such other clawback, recovery or recoupment provisions set forth in an individual written agreement between the Company and the Participant, including the Company’s Sales Compensation Plan, if applicable to such Participant. No recovery of compensation under such a Clawback Provision will be an event giving rise to a right to resign for “good reason” or “constructive termination” (or similar term) under any agreement with the Company.</w:t>
      </w:r>
    </w:p>
    <w:p>
      <w:pPr>
        <w:spacing w:after="0" w:line="175" w:lineRule="exact"/>
        <w:rPr>
          <w:rFonts w:ascii="Arial" w:cs="Arial" w:eastAsia="Arial" w:hAnsi="Arial"/>
          <w:sz w:val="21"/>
          <w:szCs w:val="21"/>
          <w:b w:val="1"/>
          <w:bCs w:val="1"/>
          <w:color w:val="auto"/>
        </w:rPr>
      </w:pPr>
    </w:p>
    <w:p>
      <w:pPr>
        <w:jc w:val="both"/>
        <w:ind w:firstLine="656"/>
        <w:spacing w:after="0" w:line="247" w:lineRule="auto"/>
        <w:tabs>
          <w:tab w:leader="none" w:pos="1284"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Recovery of Mistaken Payments: </w:t>
      </w:r>
      <w:r>
        <w:rPr>
          <w:rFonts w:ascii="Arial" w:cs="Arial" w:eastAsia="Arial" w:hAnsi="Arial"/>
          <w:sz w:val="22"/>
          <w:szCs w:val="22"/>
          <w:color w:val="auto"/>
        </w:rPr>
        <w:t>On occasion or by mistake, the Company may overpay or make incorrect</w:t>
      </w:r>
      <w:r>
        <w:rPr>
          <w:rFonts w:ascii="Arial" w:cs="Arial" w:eastAsia="Arial" w:hAnsi="Arial"/>
          <w:sz w:val="22"/>
          <w:szCs w:val="22"/>
          <w:b w:val="1"/>
          <w:bCs w:val="1"/>
          <w:color w:val="auto"/>
        </w:rPr>
        <w:t xml:space="preserve"> </w:t>
      </w:r>
      <w:r>
        <w:rPr>
          <w:rFonts w:ascii="Arial" w:cs="Arial" w:eastAsia="Arial" w:hAnsi="Arial"/>
          <w:sz w:val="22"/>
          <w:szCs w:val="22"/>
          <w:color w:val="auto"/>
        </w:rPr>
        <w:t>payments of Awards. For these situations, to the extent permitted by applicable law, the Company reserves the right to offset or recover such mistaken payment amounts from any future payments of compensation to the Participant. The Participant authorizes the Company to reduce from any amounts owed to the Participant by the Company (including Base Salary, expense reimbursements, other bonuses or accrued vacation pay) such mistaken payment amounts and, to the extent the mistaken payment amounts are not repaid to the Company from such reduction, then the unpaid balance becomes a debt the Participant owes to the Company.</w:t>
      </w:r>
    </w:p>
    <w:p>
      <w:pPr>
        <w:spacing w:after="0" w:line="189" w:lineRule="exact"/>
        <w:rPr>
          <w:rFonts w:ascii="Arial" w:cs="Arial" w:eastAsia="Arial" w:hAnsi="Arial"/>
          <w:sz w:val="22"/>
          <w:szCs w:val="22"/>
          <w:b w:val="1"/>
          <w:bCs w:val="1"/>
          <w:color w:val="auto"/>
        </w:rPr>
      </w:pPr>
    </w:p>
    <w:p>
      <w:pPr>
        <w:jc w:val="both"/>
        <w:ind w:firstLine="656"/>
        <w:spacing w:after="0" w:line="256" w:lineRule="auto"/>
        <w:tabs>
          <w:tab w:leader="none" w:pos="1296"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The rights and obligations of any employee under the Plan will be governed by and interpreted,</w:t>
      </w:r>
      <w:r>
        <w:rPr>
          <w:rFonts w:ascii="Arial" w:cs="Arial" w:eastAsia="Arial" w:hAnsi="Arial"/>
          <w:sz w:val="22"/>
          <w:szCs w:val="22"/>
          <w:b w:val="1"/>
          <w:bCs w:val="1"/>
          <w:color w:val="auto"/>
        </w:rPr>
        <w:t xml:space="preserve"> </w:t>
      </w:r>
      <w:r>
        <w:rPr>
          <w:rFonts w:ascii="Arial" w:cs="Arial" w:eastAsia="Arial" w:hAnsi="Arial"/>
          <w:sz w:val="22"/>
          <w:szCs w:val="22"/>
          <w:color w:val="auto"/>
        </w:rPr>
        <w:t>construed and enforced in accordance with the laws of the State of California without regard to its or any other jurisdiction’s conflicts of laws principles.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774" w:right="339" w:bottom="1440" w:gutter="0" w:footer="0" w:header="0"/>
        </w:sectPr>
      </w:pPr>
    </w:p>
    <w:bookmarkStart w:id="116" w:name="page117"/>
    <w:bookmarkEnd w:id="116"/>
    <w:p>
      <w:pPr>
        <w:jc w:val="both"/>
        <w:ind w:left="-20" w:firstLine="656"/>
        <w:spacing w:after="0" w:line="256" w:lineRule="auto"/>
        <w:tabs>
          <w:tab w:leader="none" w:pos="127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r>
        <w:rPr>
          <w:rFonts w:ascii="Arial" w:cs="Arial" w:eastAsia="Arial" w:hAnsi="Arial"/>
          <w:sz w:val="22"/>
          <w:szCs w:val="22"/>
          <w:b w:val="1"/>
          <w:bCs w:val="1"/>
          <w:i w:val="1"/>
          <w:iCs w:val="1"/>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All Plan payments are intended to satisfy the requirements for the “short-term deferral” exemption</w:t>
      </w:r>
      <w:r>
        <w:rPr>
          <w:rFonts w:ascii="Arial" w:cs="Arial" w:eastAsia="Arial" w:hAnsi="Arial"/>
          <w:sz w:val="22"/>
          <w:szCs w:val="22"/>
          <w:b w:val="1"/>
          <w:bCs w:val="1"/>
          <w:color w:val="auto"/>
        </w:rPr>
        <w:t xml:space="preserve"> </w:t>
      </w:r>
      <w:r>
        <w:rPr>
          <w:rFonts w:ascii="Arial" w:cs="Arial" w:eastAsia="Arial" w:hAnsi="Arial"/>
          <w:sz w:val="22"/>
          <w:szCs w:val="22"/>
          <w:color w:val="auto"/>
        </w:rPr>
        <w:t>from application of Section 409A provided under Treasury Regulations Sections 1.409A-1(b)(4) and any ambiguities herein shall be interpreted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40" w:top="774" w:right="339" w:bottom="1440" w:gutter="0" w:footer="0" w:header="0"/>
        </w:sectPr>
      </w:pPr>
    </w:p>
    <w:bookmarkStart w:id="117" w:name="page118"/>
    <w:bookmarkEnd w:id="117"/>
    <w:p>
      <w:pPr>
        <w:ind w:left="10120"/>
        <w:spacing w:after="0"/>
        <w:rPr>
          <w:sz w:val="20"/>
          <w:szCs w:val="20"/>
          <w:color w:val="auto"/>
        </w:rPr>
      </w:pPr>
      <w:r>
        <w:rPr>
          <w:rFonts w:ascii="Arial" w:cs="Arial" w:eastAsia="Arial" w:hAnsi="Arial"/>
          <w:sz w:val="21"/>
          <w:szCs w:val="2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subsidiaries of the Registrant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840" w:type="dxa"/>
            <w:vAlign w:val="bottom"/>
            <w:tcBorders>
              <w:bottom w:val="single" w:sz="8" w:color="auto"/>
            </w:tcBorders>
          </w:tcPr>
          <w:p>
            <w:pPr>
              <w:ind w:left="2040"/>
              <w:spacing w:after="0"/>
              <w:rPr>
                <w:sz w:val="20"/>
                <w:szCs w:val="20"/>
                <w:color w:val="auto"/>
              </w:rPr>
            </w:pPr>
            <w:r>
              <w:rPr>
                <w:rFonts w:ascii="Arial" w:cs="Arial" w:eastAsia="Arial" w:hAnsi="Arial"/>
                <w:sz w:val="22"/>
                <w:szCs w:val="22"/>
                <w:color w:val="auto"/>
              </w:rPr>
              <w:t>Name of Subsidiary</w:t>
            </w:r>
          </w:p>
        </w:tc>
        <w:tc>
          <w:tcPr>
            <w:tcW w:w="5400" w:type="dxa"/>
            <w:vAlign w:val="bottom"/>
            <w:tcBorders>
              <w:bottom w:val="single" w:sz="8" w:color="auto"/>
            </w:tcBorders>
          </w:tcPr>
          <w:p>
            <w:pPr>
              <w:ind w:left="1880"/>
              <w:spacing w:after="0"/>
              <w:rPr>
                <w:sz w:val="20"/>
                <w:szCs w:val="20"/>
                <w:color w:val="auto"/>
              </w:rPr>
            </w:pPr>
            <w:r>
              <w:rPr>
                <w:rFonts w:ascii="Arial" w:cs="Arial" w:eastAsia="Arial" w:hAnsi="Arial"/>
                <w:sz w:val="22"/>
                <w:szCs w:val="22"/>
                <w:color w:val="auto"/>
              </w:rPr>
              <w:t>Jurisdiction of Organization</w:t>
            </w:r>
          </w:p>
        </w:tc>
      </w:tr>
      <w:tr>
        <w:trPr>
          <w:trHeight w:val="262"/>
        </w:trPr>
        <w:tc>
          <w:tcPr>
            <w:tcW w:w="5840" w:type="dxa"/>
            <w:vAlign w:val="bottom"/>
          </w:tcPr>
          <w:p>
            <w:pPr>
              <w:ind w:left="20"/>
              <w:spacing w:after="0"/>
              <w:rPr>
                <w:sz w:val="20"/>
                <w:szCs w:val="20"/>
                <w:color w:val="auto"/>
              </w:rPr>
            </w:pPr>
            <w:r>
              <w:rPr>
                <w:rFonts w:ascii="Arial" w:cs="Arial" w:eastAsia="Arial" w:hAnsi="Arial"/>
                <w:sz w:val="22"/>
                <w:szCs w:val="22"/>
                <w:color w:val="auto"/>
              </w:rPr>
              <w:t>Zoom Voice Communications, Inc.</w:t>
            </w:r>
          </w:p>
        </w:tc>
        <w:tc>
          <w:tcPr>
            <w:tcW w:w="5400" w:type="dxa"/>
            <w:vAlign w:val="bottom"/>
          </w:tcPr>
          <w:p>
            <w:pPr>
              <w:ind w:left="1000"/>
              <w:spacing w:after="0"/>
              <w:rPr>
                <w:sz w:val="20"/>
                <w:szCs w:val="20"/>
                <w:color w:val="auto"/>
              </w:rPr>
            </w:pPr>
            <w:r>
              <w:rPr>
                <w:rFonts w:ascii="Arial" w:cs="Arial" w:eastAsia="Arial" w:hAnsi="Arial"/>
                <w:sz w:val="22"/>
                <w:szCs w:val="22"/>
                <w:color w:val="auto"/>
              </w:rPr>
              <w:t>United States of America</w:t>
            </w:r>
          </w:p>
        </w:tc>
      </w:tr>
      <w:tr>
        <w:trPr>
          <w:trHeight w:val="270"/>
        </w:trPr>
        <w:tc>
          <w:tcPr>
            <w:tcW w:w="5840" w:type="dxa"/>
            <w:vAlign w:val="bottom"/>
          </w:tcPr>
          <w:p>
            <w:pPr>
              <w:ind w:left="20"/>
              <w:spacing w:after="0"/>
              <w:rPr>
                <w:sz w:val="20"/>
                <w:szCs w:val="20"/>
                <w:color w:val="auto"/>
              </w:rPr>
            </w:pPr>
            <w:r>
              <w:rPr>
                <w:rFonts w:ascii="Arial" w:cs="Arial" w:eastAsia="Arial" w:hAnsi="Arial"/>
                <w:sz w:val="22"/>
                <w:szCs w:val="22"/>
                <w:color w:val="auto"/>
              </w:rPr>
              <w:t>ZVC UK LTD</w:t>
            </w:r>
          </w:p>
        </w:tc>
        <w:tc>
          <w:tcPr>
            <w:tcW w:w="5400" w:type="dxa"/>
            <w:vAlign w:val="bottom"/>
          </w:tcPr>
          <w:p>
            <w:pPr>
              <w:ind w:left="1000"/>
              <w:spacing w:after="0"/>
              <w:rPr>
                <w:sz w:val="20"/>
                <w:szCs w:val="20"/>
                <w:color w:val="auto"/>
              </w:rPr>
            </w:pPr>
            <w:r>
              <w:rPr>
                <w:rFonts w:ascii="Arial" w:cs="Arial" w:eastAsia="Arial" w:hAnsi="Arial"/>
                <w:sz w:val="22"/>
                <w:szCs w:val="22"/>
                <w:color w:val="auto"/>
              </w:rPr>
              <w:t>United Kingdom</w:t>
            </w:r>
          </w:p>
        </w:tc>
      </w:tr>
      <w:tr>
        <w:trPr>
          <w:trHeight w:val="270"/>
        </w:trPr>
        <w:tc>
          <w:tcPr>
            <w:tcW w:w="5840" w:type="dxa"/>
            <w:vAlign w:val="bottom"/>
          </w:tcPr>
          <w:p>
            <w:pPr>
              <w:ind w:left="20"/>
              <w:spacing w:after="0"/>
              <w:rPr>
                <w:sz w:val="20"/>
                <w:szCs w:val="20"/>
                <w:color w:val="auto"/>
              </w:rPr>
            </w:pPr>
            <w:r>
              <w:rPr>
                <w:rFonts w:ascii="Arial" w:cs="Arial" w:eastAsia="Arial" w:hAnsi="Arial"/>
                <w:sz w:val="22"/>
                <w:szCs w:val="22"/>
                <w:color w:val="auto"/>
              </w:rPr>
              <w:t>ZVC Australia PTY LTD</w:t>
            </w:r>
          </w:p>
        </w:tc>
        <w:tc>
          <w:tcPr>
            <w:tcW w:w="5400" w:type="dxa"/>
            <w:vAlign w:val="bottom"/>
          </w:tcPr>
          <w:p>
            <w:pPr>
              <w:ind w:left="1000"/>
              <w:spacing w:after="0"/>
              <w:rPr>
                <w:sz w:val="20"/>
                <w:szCs w:val="20"/>
                <w:color w:val="auto"/>
              </w:rPr>
            </w:pPr>
            <w:r>
              <w:rPr>
                <w:rFonts w:ascii="Arial" w:cs="Arial" w:eastAsia="Arial" w:hAnsi="Arial"/>
                <w:sz w:val="22"/>
                <w:szCs w:val="22"/>
                <w:color w:val="auto"/>
              </w:rPr>
              <w:t>Australia</w:t>
            </w:r>
          </w:p>
        </w:tc>
      </w:tr>
      <w:tr>
        <w:trPr>
          <w:trHeight w:val="270"/>
        </w:trPr>
        <w:tc>
          <w:tcPr>
            <w:tcW w:w="5840" w:type="dxa"/>
            <w:vAlign w:val="bottom"/>
          </w:tcPr>
          <w:p>
            <w:pPr>
              <w:ind w:left="20"/>
              <w:spacing w:after="0"/>
              <w:rPr>
                <w:sz w:val="20"/>
                <w:szCs w:val="20"/>
                <w:color w:val="auto"/>
              </w:rPr>
            </w:pPr>
            <w:r>
              <w:rPr>
                <w:rFonts w:ascii="Arial" w:cs="Arial" w:eastAsia="Arial" w:hAnsi="Arial"/>
                <w:sz w:val="22"/>
                <w:szCs w:val="22"/>
                <w:color w:val="auto"/>
              </w:rPr>
              <w:t>ZVC Netherlands B.V.</w:t>
            </w:r>
          </w:p>
        </w:tc>
        <w:tc>
          <w:tcPr>
            <w:tcW w:w="5400" w:type="dxa"/>
            <w:vAlign w:val="bottom"/>
          </w:tcPr>
          <w:p>
            <w:pPr>
              <w:ind w:left="1000"/>
              <w:spacing w:after="0"/>
              <w:rPr>
                <w:sz w:val="20"/>
                <w:szCs w:val="20"/>
                <w:color w:val="auto"/>
              </w:rPr>
            </w:pPr>
            <w:r>
              <w:rPr>
                <w:rFonts w:ascii="Arial" w:cs="Arial" w:eastAsia="Arial" w:hAnsi="Arial"/>
                <w:sz w:val="22"/>
                <w:szCs w:val="22"/>
                <w:color w:val="auto"/>
              </w:rPr>
              <w:t>Netherlands</w:t>
            </w:r>
          </w:p>
        </w:tc>
      </w:tr>
      <w:tr>
        <w:trPr>
          <w:trHeight w:val="270"/>
        </w:trPr>
        <w:tc>
          <w:tcPr>
            <w:tcW w:w="5840" w:type="dxa"/>
            <w:vAlign w:val="bottom"/>
          </w:tcPr>
          <w:p>
            <w:pPr>
              <w:ind w:left="20"/>
              <w:spacing w:after="0"/>
              <w:rPr>
                <w:sz w:val="20"/>
                <w:szCs w:val="20"/>
                <w:color w:val="auto"/>
              </w:rPr>
            </w:pPr>
            <w:r>
              <w:rPr>
                <w:rFonts w:ascii="Arial" w:cs="Arial" w:eastAsia="Arial" w:hAnsi="Arial"/>
                <w:sz w:val="22"/>
                <w:szCs w:val="22"/>
                <w:color w:val="auto"/>
              </w:rPr>
              <w:t>ZVC Japan KK</w:t>
            </w:r>
          </w:p>
        </w:tc>
        <w:tc>
          <w:tcPr>
            <w:tcW w:w="5400" w:type="dxa"/>
            <w:vAlign w:val="bottom"/>
          </w:tcPr>
          <w:p>
            <w:pPr>
              <w:ind w:left="1000"/>
              <w:spacing w:after="0"/>
              <w:rPr>
                <w:sz w:val="20"/>
                <w:szCs w:val="20"/>
                <w:color w:val="auto"/>
              </w:rPr>
            </w:pPr>
            <w:r>
              <w:rPr>
                <w:rFonts w:ascii="Arial" w:cs="Arial" w:eastAsia="Arial" w:hAnsi="Arial"/>
                <w:sz w:val="22"/>
                <w:szCs w:val="22"/>
                <w:color w:val="auto"/>
              </w:rPr>
              <w:t>Japan</w:t>
            </w:r>
          </w:p>
        </w:tc>
      </w:tr>
      <w:tr>
        <w:trPr>
          <w:trHeight w:val="270"/>
        </w:trPr>
        <w:tc>
          <w:tcPr>
            <w:tcW w:w="5840" w:type="dxa"/>
            <w:vAlign w:val="bottom"/>
          </w:tcPr>
          <w:p>
            <w:pPr>
              <w:ind w:left="20"/>
              <w:spacing w:after="0"/>
              <w:rPr>
                <w:sz w:val="20"/>
                <w:szCs w:val="20"/>
                <w:color w:val="auto"/>
              </w:rPr>
            </w:pPr>
            <w:r>
              <w:rPr>
                <w:rFonts w:ascii="Arial" w:cs="Arial" w:eastAsia="Arial" w:hAnsi="Arial"/>
                <w:sz w:val="22"/>
                <w:szCs w:val="22"/>
                <w:color w:val="auto"/>
              </w:rPr>
              <w:t>Zoom Video Communications (Suzhou) Inc.</w:t>
            </w:r>
          </w:p>
        </w:tc>
        <w:tc>
          <w:tcPr>
            <w:tcW w:w="5400" w:type="dxa"/>
            <w:vAlign w:val="bottom"/>
          </w:tcPr>
          <w:p>
            <w:pPr>
              <w:ind w:left="1000"/>
              <w:spacing w:after="0"/>
              <w:rPr>
                <w:sz w:val="20"/>
                <w:szCs w:val="20"/>
                <w:color w:val="auto"/>
              </w:rPr>
            </w:pPr>
            <w:r>
              <w:rPr>
                <w:rFonts w:ascii="Arial" w:cs="Arial" w:eastAsia="Arial" w:hAnsi="Arial"/>
                <w:sz w:val="22"/>
                <w:szCs w:val="22"/>
                <w:color w:val="auto"/>
              </w:rPr>
              <w:t>China</w:t>
            </w:r>
          </w:p>
        </w:tc>
      </w:tr>
      <w:tr>
        <w:trPr>
          <w:trHeight w:val="270"/>
        </w:trPr>
        <w:tc>
          <w:tcPr>
            <w:tcW w:w="5840" w:type="dxa"/>
            <w:vAlign w:val="bottom"/>
          </w:tcPr>
          <w:p>
            <w:pPr>
              <w:ind w:left="20"/>
              <w:spacing w:after="0"/>
              <w:rPr>
                <w:sz w:val="20"/>
                <w:szCs w:val="20"/>
                <w:color w:val="auto"/>
              </w:rPr>
            </w:pPr>
            <w:r>
              <w:rPr>
                <w:rFonts w:ascii="Arial" w:cs="Arial" w:eastAsia="Arial" w:hAnsi="Arial"/>
                <w:sz w:val="22"/>
                <w:szCs w:val="22"/>
                <w:color w:val="auto"/>
              </w:rPr>
              <w:t>Saasbee Inc. (Hefei) Ltd.</w:t>
            </w:r>
          </w:p>
        </w:tc>
        <w:tc>
          <w:tcPr>
            <w:tcW w:w="5400" w:type="dxa"/>
            <w:vAlign w:val="bottom"/>
          </w:tcPr>
          <w:p>
            <w:pPr>
              <w:ind w:left="1000"/>
              <w:spacing w:after="0"/>
              <w:rPr>
                <w:sz w:val="20"/>
                <w:szCs w:val="20"/>
                <w:color w:val="auto"/>
              </w:rPr>
            </w:pPr>
            <w:r>
              <w:rPr>
                <w:rFonts w:ascii="Arial" w:cs="Arial" w:eastAsia="Arial" w:hAnsi="Arial"/>
                <w:sz w:val="22"/>
                <w:szCs w:val="22"/>
                <w:color w:val="auto"/>
              </w:rPr>
              <w:t>China</w:t>
            </w:r>
          </w:p>
        </w:tc>
      </w:tr>
      <w:tr>
        <w:trPr>
          <w:trHeight w:val="270"/>
        </w:trPr>
        <w:tc>
          <w:tcPr>
            <w:tcW w:w="5840" w:type="dxa"/>
            <w:vAlign w:val="bottom"/>
          </w:tcPr>
          <w:p>
            <w:pPr>
              <w:ind w:left="20"/>
              <w:spacing w:after="0"/>
              <w:rPr>
                <w:sz w:val="20"/>
                <w:szCs w:val="20"/>
                <w:color w:val="auto"/>
              </w:rPr>
            </w:pPr>
            <w:r>
              <w:rPr>
                <w:rFonts w:ascii="Arial" w:cs="Arial" w:eastAsia="Arial" w:hAnsi="Arial"/>
                <w:sz w:val="22"/>
                <w:szCs w:val="22"/>
                <w:color w:val="auto"/>
              </w:rPr>
              <w:t>SaasBee Software (Hangzhou) Co., Ltd.</w:t>
            </w:r>
          </w:p>
        </w:tc>
        <w:tc>
          <w:tcPr>
            <w:tcW w:w="5400" w:type="dxa"/>
            <w:vAlign w:val="bottom"/>
          </w:tcPr>
          <w:p>
            <w:pPr>
              <w:ind w:left="1000"/>
              <w:spacing w:after="0"/>
              <w:rPr>
                <w:sz w:val="20"/>
                <w:szCs w:val="20"/>
                <w:color w:val="auto"/>
              </w:rPr>
            </w:pPr>
            <w:r>
              <w:rPr>
                <w:rFonts w:ascii="Arial" w:cs="Arial" w:eastAsia="Arial" w:hAnsi="Arial"/>
                <w:sz w:val="22"/>
                <w:szCs w:val="22"/>
                <w:color w:val="auto"/>
              </w:rPr>
              <w:t>China</w:t>
            </w:r>
          </w:p>
        </w:tc>
      </w:tr>
      <w:tr>
        <w:trPr>
          <w:trHeight w:val="270"/>
        </w:trPr>
        <w:tc>
          <w:tcPr>
            <w:tcW w:w="5840" w:type="dxa"/>
            <w:vAlign w:val="bottom"/>
          </w:tcPr>
          <w:p>
            <w:pPr>
              <w:ind w:left="20"/>
              <w:spacing w:after="0"/>
              <w:rPr>
                <w:sz w:val="20"/>
                <w:szCs w:val="20"/>
                <w:color w:val="auto"/>
              </w:rPr>
            </w:pPr>
            <w:r>
              <w:rPr>
                <w:rFonts w:ascii="Arial" w:cs="Arial" w:eastAsia="Arial" w:hAnsi="Arial"/>
                <w:sz w:val="22"/>
                <w:szCs w:val="22"/>
                <w:color w:val="auto"/>
              </w:rPr>
              <w:t>ZVC France SAS</w:t>
            </w:r>
          </w:p>
        </w:tc>
        <w:tc>
          <w:tcPr>
            <w:tcW w:w="5400" w:type="dxa"/>
            <w:vAlign w:val="bottom"/>
          </w:tcPr>
          <w:p>
            <w:pPr>
              <w:ind w:left="1000"/>
              <w:spacing w:after="0"/>
              <w:rPr>
                <w:sz w:val="20"/>
                <w:szCs w:val="20"/>
                <w:color w:val="auto"/>
              </w:rPr>
            </w:pPr>
            <w:r>
              <w:rPr>
                <w:rFonts w:ascii="Arial" w:cs="Arial" w:eastAsia="Arial" w:hAnsi="Arial"/>
                <w:sz w:val="22"/>
                <w:szCs w:val="22"/>
                <w:color w:val="auto"/>
              </w:rPr>
              <w:t>France</w:t>
            </w:r>
          </w:p>
        </w:tc>
      </w:tr>
      <w:tr>
        <w:trPr>
          <w:trHeight w:val="270"/>
        </w:trPr>
        <w:tc>
          <w:tcPr>
            <w:tcW w:w="5840" w:type="dxa"/>
            <w:vAlign w:val="bottom"/>
          </w:tcPr>
          <w:p>
            <w:pPr>
              <w:ind w:left="20"/>
              <w:spacing w:after="0"/>
              <w:rPr>
                <w:sz w:val="20"/>
                <w:szCs w:val="20"/>
                <w:color w:val="auto"/>
              </w:rPr>
            </w:pPr>
            <w:r>
              <w:rPr>
                <w:rFonts w:ascii="Arial" w:cs="Arial" w:eastAsia="Arial" w:hAnsi="Arial"/>
                <w:sz w:val="22"/>
                <w:szCs w:val="22"/>
                <w:color w:val="auto"/>
              </w:rPr>
              <w:t>ZVC India PVT LTD</w:t>
            </w:r>
          </w:p>
        </w:tc>
        <w:tc>
          <w:tcPr>
            <w:tcW w:w="5400" w:type="dxa"/>
            <w:vAlign w:val="bottom"/>
          </w:tcPr>
          <w:p>
            <w:pPr>
              <w:ind w:left="1000"/>
              <w:spacing w:after="0"/>
              <w:rPr>
                <w:sz w:val="20"/>
                <w:szCs w:val="20"/>
                <w:color w:val="auto"/>
              </w:rPr>
            </w:pPr>
            <w:r>
              <w:rPr>
                <w:rFonts w:ascii="Arial" w:cs="Arial" w:eastAsia="Arial" w:hAnsi="Arial"/>
                <w:sz w:val="22"/>
                <w:szCs w:val="22"/>
                <w:color w:val="auto"/>
              </w:rPr>
              <w:t>India</w:t>
            </w:r>
          </w:p>
        </w:tc>
      </w:tr>
      <w:tr>
        <w:trPr>
          <w:trHeight w:val="270"/>
        </w:trPr>
        <w:tc>
          <w:tcPr>
            <w:tcW w:w="5840" w:type="dxa"/>
            <w:vAlign w:val="bottom"/>
          </w:tcPr>
          <w:p>
            <w:pPr>
              <w:ind w:left="20"/>
              <w:spacing w:after="0"/>
              <w:rPr>
                <w:sz w:val="20"/>
                <w:szCs w:val="20"/>
                <w:color w:val="auto"/>
              </w:rPr>
            </w:pPr>
            <w:r>
              <w:rPr>
                <w:rFonts w:ascii="Arial" w:cs="Arial" w:eastAsia="Arial" w:hAnsi="Arial"/>
                <w:sz w:val="22"/>
                <w:szCs w:val="22"/>
                <w:color w:val="auto"/>
              </w:rPr>
              <w:t>ZVC Canada LTD</w:t>
            </w:r>
          </w:p>
        </w:tc>
        <w:tc>
          <w:tcPr>
            <w:tcW w:w="5400" w:type="dxa"/>
            <w:vAlign w:val="bottom"/>
          </w:tcPr>
          <w:p>
            <w:pPr>
              <w:ind w:left="1000"/>
              <w:spacing w:after="0"/>
              <w:rPr>
                <w:sz w:val="20"/>
                <w:szCs w:val="20"/>
                <w:color w:val="auto"/>
              </w:rPr>
            </w:pPr>
            <w:r>
              <w:rPr>
                <w:rFonts w:ascii="Arial" w:cs="Arial" w:eastAsia="Arial" w:hAnsi="Arial"/>
                <w:sz w:val="22"/>
                <w:szCs w:val="22"/>
                <w:color w:val="auto"/>
              </w:rPr>
              <w:t>Canada</w:t>
            </w:r>
          </w:p>
        </w:tc>
      </w:tr>
      <w:tr>
        <w:trPr>
          <w:trHeight w:val="294"/>
        </w:trPr>
        <w:tc>
          <w:tcPr>
            <w:tcW w:w="5840" w:type="dxa"/>
            <w:vAlign w:val="bottom"/>
          </w:tcPr>
          <w:p>
            <w:pPr>
              <w:ind w:left="20"/>
              <w:spacing w:after="0"/>
              <w:rPr>
                <w:sz w:val="20"/>
                <w:szCs w:val="20"/>
                <w:color w:val="auto"/>
              </w:rPr>
            </w:pPr>
            <w:r>
              <w:rPr>
                <w:rFonts w:ascii="Arial" w:cs="Arial" w:eastAsia="Arial" w:hAnsi="Arial"/>
                <w:sz w:val="22"/>
                <w:szCs w:val="22"/>
                <w:color w:val="auto"/>
              </w:rPr>
              <w:t>Zoom Video Communications Hong Kong LTD</w:t>
            </w:r>
          </w:p>
        </w:tc>
        <w:tc>
          <w:tcPr>
            <w:tcW w:w="5400" w:type="dxa"/>
            <w:vAlign w:val="bottom"/>
          </w:tcPr>
          <w:p>
            <w:pPr>
              <w:ind w:left="1000"/>
              <w:spacing w:after="0"/>
              <w:rPr>
                <w:sz w:val="20"/>
                <w:szCs w:val="20"/>
                <w:color w:val="auto"/>
              </w:rPr>
            </w:pPr>
            <w:r>
              <w:rPr>
                <w:rFonts w:ascii="Arial" w:cs="Arial" w:eastAsia="Arial" w:hAnsi="Arial"/>
                <w:sz w:val="22"/>
                <w:szCs w:val="22"/>
                <w:color w:val="auto"/>
              </w:rPr>
              <w:t>Hong Kong</w:t>
            </w:r>
          </w:p>
        </w:tc>
      </w:tr>
      <w:tr>
        <w:trPr>
          <w:trHeight w:val="259"/>
        </w:trPr>
        <w:tc>
          <w:tcPr>
            <w:tcW w:w="5840" w:type="dxa"/>
            <w:vAlign w:val="bottom"/>
          </w:tcPr>
          <w:p>
            <w:pPr>
              <w:ind w:left="20"/>
              <w:spacing w:after="0"/>
              <w:rPr>
                <w:sz w:val="20"/>
                <w:szCs w:val="20"/>
                <w:color w:val="auto"/>
              </w:rPr>
            </w:pPr>
            <w:r>
              <w:rPr>
                <w:rFonts w:ascii="Arial" w:cs="Arial" w:eastAsia="Arial" w:hAnsi="Arial"/>
                <w:sz w:val="22"/>
                <w:szCs w:val="22"/>
                <w:color w:val="auto"/>
              </w:rPr>
              <w:t>Zoom Video Communications (Shanghai) Co., Ltd.</w:t>
            </w:r>
          </w:p>
        </w:tc>
        <w:tc>
          <w:tcPr>
            <w:tcW w:w="5400" w:type="dxa"/>
            <w:vAlign w:val="bottom"/>
          </w:tcPr>
          <w:p>
            <w:pPr>
              <w:ind w:left="1000"/>
              <w:spacing w:after="0"/>
              <w:rPr>
                <w:sz w:val="20"/>
                <w:szCs w:val="20"/>
                <w:color w:val="auto"/>
              </w:rPr>
            </w:pPr>
            <w:r>
              <w:rPr>
                <w:rFonts w:ascii="Arial" w:cs="Arial" w:eastAsia="Arial" w:hAnsi="Arial"/>
                <w:sz w:val="22"/>
                <w:szCs w:val="22"/>
                <w:color w:val="auto"/>
              </w:rPr>
              <w:t>China</w:t>
            </w:r>
          </w:p>
        </w:tc>
      </w:tr>
      <w:tr>
        <w:trPr>
          <w:trHeight w:val="283"/>
        </w:trPr>
        <w:tc>
          <w:tcPr>
            <w:tcW w:w="5840" w:type="dxa"/>
            <w:vAlign w:val="bottom"/>
          </w:tcPr>
          <w:p>
            <w:pPr>
              <w:ind w:left="20"/>
              <w:spacing w:after="0"/>
              <w:rPr>
                <w:sz w:val="20"/>
                <w:szCs w:val="20"/>
                <w:color w:val="auto"/>
              </w:rPr>
            </w:pPr>
            <w:r>
              <w:rPr>
                <w:rFonts w:ascii="Arial" w:cs="Arial" w:eastAsia="Arial" w:hAnsi="Arial"/>
                <w:sz w:val="22"/>
                <w:szCs w:val="22"/>
                <w:color w:val="auto"/>
              </w:rPr>
              <w:t>ZVC Singapore Pte. Ltd.</w:t>
            </w:r>
          </w:p>
        </w:tc>
        <w:tc>
          <w:tcPr>
            <w:tcW w:w="5400" w:type="dxa"/>
            <w:vAlign w:val="bottom"/>
          </w:tcPr>
          <w:p>
            <w:pPr>
              <w:ind w:left="1000"/>
              <w:spacing w:after="0"/>
              <w:rPr>
                <w:sz w:val="20"/>
                <w:szCs w:val="20"/>
                <w:color w:val="auto"/>
              </w:rPr>
            </w:pPr>
            <w:r>
              <w:rPr>
                <w:rFonts w:ascii="Arial" w:cs="Arial" w:eastAsia="Arial" w:hAnsi="Arial"/>
                <w:sz w:val="22"/>
                <w:szCs w:val="22"/>
                <w:color w:val="auto"/>
              </w:rPr>
              <w:t>Singapore</w:t>
            </w:r>
          </w:p>
        </w:tc>
      </w:tr>
      <w:tr>
        <w:trPr>
          <w:trHeight w:val="270"/>
        </w:trPr>
        <w:tc>
          <w:tcPr>
            <w:tcW w:w="5840" w:type="dxa"/>
            <w:vAlign w:val="bottom"/>
          </w:tcPr>
          <w:p>
            <w:pPr>
              <w:ind w:left="20"/>
              <w:spacing w:after="0"/>
              <w:rPr>
                <w:sz w:val="20"/>
                <w:szCs w:val="20"/>
                <w:color w:val="auto"/>
              </w:rPr>
            </w:pPr>
            <w:r>
              <w:rPr>
                <w:rFonts w:ascii="Arial" w:cs="Arial" w:eastAsia="Arial" w:hAnsi="Arial"/>
                <w:sz w:val="22"/>
                <w:szCs w:val="22"/>
                <w:color w:val="auto"/>
              </w:rPr>
              <w:t>ZVC Germany GmbH</w:t>
            </w:r>
          </w:p>
        </w:tc>
        <w:tc>
          <w:tcPr>
            <w:tcW w:w="5400" w:type="dxa"/>
            <w:vAlign w:val="bottom"/>
          </w:tcPr>
          <w:p>
            <w:pPr>
              <w:ind w:left="1000"/>
              <w:spacing w:after="0"/>
              <w:rPr>
                <w:sz w:val="20"/>
                <w:szCs w:val="20"/>
                <w:color w:val="auto"/>
              </w:rPr>
            </w:pPr>
            <w:r>
              <w:rPr>
                <w:rFonts w:ascii="Arial" w:cs="Arial" w:eastAsia="Arial" w:hAnsi="Arial"/>
                <w:sz w:val="22"/>
                <w:szCs w:val="22"/>
                <w:color w:val="auto"/>
              </w:rPr>
              <w:t>Germany</w:t>
            </w:r>
          </w:p>
        </w:tc>
      </w:tr>
      <w:tr>
        <w:trPr>
          <w:trHeight w:val="270"/>
        </w:trPr>
        <w:tc>
          <w:tcPr>
            <w:tcW w:w="5840" w:type="dxa"/>
            <w:vAlign w:val="bottom"/>
          </w:tcPr>
          <w:p>
            <w:pPr>
              <w:ind w:left="20"/>
              <w:spacing w:after="0"/>
              <w:rPr>
                <w:sz w:val="20"/>
                <w:szCs w:val="20"/>
                <w:color w:val="auto"/>
              </w:rPr>
            </w:pPr>
            <w:r>
              <w:rPr>
                <w:rFonts w:ascii="Arial" w:cs="Arial" w:eastAsia="Arial" w:hAnsi="Arial"/>
                <w:sz w:val="22"/>
                <w:szCs w:val="22"/>
                <w:color w:val="auto"/>
              </w:rPr>
              <w:t>Keybase LLC</w:t>
            </w:r>
          </w:p>
        </w:tc>
        <w:tc>
          <w:tcPr>
            <w:tcW w:w="5400" w:type="dxa"/>
            <w:vAlign w:val="bottom"/>
          </w:tcPr>
          <w:p>
            <w:pPr>
              <w:ind w:left="1000"/>
              <w:spacing w:after="0"/>
              <w:rPr>
                <w:sz w:val="20"/>
                <w:szCs w:val="20"/>
                <w:color w:val="auto"/>
              </w:rPr>
            </w:pPr>
            <w:r>
              <w:rPr>
                <w:rFonts w:ascii="Arial" w:cs="Arial" w:eastAsia="Arial" w:hAnsi="Arial"/>
                <w:sz w:val="22"/>
                <w:szCs w:val="22"/>
                <w:color w:val="auto"/>
              </w:rPr>
              <w:t>United States of America</w:t>
            </w:r>
          </w:p>
        </w:tc>
      </w:tr>
      <w:tr>
        <w:trPr>
          <w:trHeight w:val="270"/>
        </w:trPr>
        <w:tc>
          <w:tcPr>
            <w:tcW w:w="5840" w:type="dxa"/>
            <w:vAlign w:val="bottom"/>
          </w:tcPr>
          <w:p>
            <w:pPr>
              <w:ind w:left="20"/>
              <w:spacing w:after="0"/>
              <w:rPr>
                <w:sz w:val="20"/>
                <w:szCs w:val="20"/>
                <w:color w:val="auto"/>
              </w:rPr>
            </w:pPr>
            <w:r>
              <w:rPr>
                <w:rFonts w:ascii="Arial" w:cs="Arial" w:eastAsia="Arial" w:hAnsi="Arial"/>
                <w:sz w:val="22"/>
                <w:szCs w:val="22"/>
                <w:color w:val="auto"/>
              </w:rPr>
              <w:t>Zoom Video Communications (Shanghai) Co., Ltd.</w:t>
            </w:r>
          </w:p>
        </w:tc>
        <w:tc>
          <w:tcPr>
            <w:tcW w:w="5400" w:type="dxa"/>
            <w:vAlign w:val="bottom"/>
          </w:tcPr>
          <w:p>
            <w:pPr>
              <w:ind w:left="1000"/>
              <w:spacing w:after="0"/>
              <w:rPr>
                <w:sz w:val="20"/>
                <w:szCs w:val="20"/>
                <w:color w:val="auto"/>
              </w:rPr>
            </w:pPr>
            <w:r>
              <w:rPr>
                <w:rFonts w:ascii="Arial" w:cs="Arial" w:eastAsia="Arial" w:hAnsi="Arial"/>
                <w:sz w:val="22"/>
                <w:szCs w:val="22"/>
                <w:color w:val="auto"/>
              </w:rPr>
              <w:t>China</w:t>
            </w:r>
          </w:p>
        </w:tc>
      </w:tr>
    </w:tbl>
    <w:p>
      <w:pPr>
        <w:sectPr>
          <w:pgSz w:w="11900" w:h="16838" w:orient="portrait"/>
          <w:cols w:equalWidth="0" w:num="1">
            <w:col w:w="11240"/>
          </w:cols>
          <w:pgMar w:left="320" w:top="632"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0"/>
          <w:szCs w:val="20"/>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2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consent to the incorporation by reference in the registration statements (No. 333-237348 and 333-230997) on Form S-8 and registration statement (No. 333-252035) on Form S-3 of Zoom Video Communications, Inc. of our report dated March 18, 2021, with respect to the consolidated balance sheets of Zoom Video Communications, Inc. and subsidiaries (the Company) as of January 31, 2021 and 2020, the related consolidated statements of operations, comprehensive income, convertible preferred stock and stockholders’ (deficit) equity, and cash flows for each of the years in the three-year period ended January 31, 2021, and the related notes and financial statement schedule II: valuation and qualifying accounts (collectively,</w:t>
      </w:r>
    </w:p>
    <w:p>
      <w:pPr>
        <w:spacing w:after="0" w:line="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consolidated financial statements), and the effectiveness of internal control over financial reporting as of January 31, 2021, which report appears in the January 31, 2021 annual report on Form 10-K of Zoom Video Communications, Inc.</w:t>
      </w:r>
    </w:p>
    <w:p>
      <w:pPr>
        <w:spacing w:after="0" w:line="22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Our report dated March 18, 2021 refers to a change in the Company’s method of accounting for leases as of February 1, 2019 due to the adoption of a new accounting standard.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18, 2021</w:t>
      </w:r>
    </w:p>
    <w:p>
      <w:pPr>
        <w:sectPr>
          <w:pgSz w:w="11900" w:h="16838" w:orient="portrait"/>
          <w:cols w:equalWidth="0" w:num="1">
            <w:col w:w="11120"/>
          </w:cols>
          <w:pgMar w:left="440" w:top="865"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CERTIFICATION OF CHIEF EXECUTIVE OFFICER PURSUANT TO EXCHANGE ACT RULES 13a-14(a) AND 15d-14(a) 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Eric S. Yuan, certify that:</w:t>
      </w:r>
    </w:p>
    <w:p>
      <w:pPr>
        <w:spacing w:after="0" w:line="185"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Zoom Video Communications, Inc.;</w:t>
      </w:r>
    </w:p>
    <w:p>
      <w:pPr>
        <w:spacing w:after="0" w:line="184"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jc w:val="both"/>
        <w:ind w:left="1300" w:right="240" w:hanging="644"/>
        <w:spacing w:after="0" w:line="291" w:lineRule="auto"/>
        <w:tabs>
          <w:tab w:leader="none" w:pos="1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70" w:lineRule="exact"/>
        <w:rPr>
          <w:rFonts w:ascii="Arial" w:cs="Arial" w:eastAsia="Arial" w:hAnsi="Arial"/>
          <w:sz w:val="16"/>
          <w:szCs w:val="16"/>
          <w:color w:val="auto"/>
        </w:rPr>
      </w:pPr>
    </w:p>
    <w:p>
      <w:pPr>
        <w:ind w:left="1960" w:right="80" w:hanging="656"/>
        <w:spacing w:after="0" w:line="286" w:lineRule="auto"/>
        <w:tabs>
          <w:tab w:leader="none" w:pos="195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80" w:hanging="656"/>
        <w:spacing w:after="0" w:line="263" w:lineRule="auto"/>
        <w:tabs>
          <w:tab w:leader="none" w:pos="195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260" w:type="dxa"/>
            <w:vAlign w:val="bottom"/>
          </w:tcPr>
          <w:p>
            <w:pPr>
              <w:ind w:left="656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S. Yuan</w:t>
            </w:r>
          </w:p>
        </w:tc>
      </w:tr>
      <w:tr>
        <w:trPr>
          <w:trHeight w:val="222"/>
        </w:trPr>
        <w:tc>
          <w:tcPr>
            <w:tcW w:w="7260" w:type="dxa"/>
            <w:vAlign w:val="bottom"/>
          </w:tcPr>
          <w:p>
            <w:pPr>
              <w:spacing w:after="0"/>
              <w:rPr>
                <w:sz w:val="20"/>
                <w:szCs w:val="20"/>
                <w:color w:val="auto"/>
              </w:rPr>
            </w:pPr>
            <w:r>
              <w:rPr>
                <w:rFonts w:ascii="Arial" w:cs="Arial" w:eastAsia="Arial" w:hAnsi="Arial"/>
                <w:sz w:val="18"/>
                <w:szCs w:val="18"/>
                <w:color w:val="auto"/>
              </w:rPr>
              <w:t>Date: March 18, 2021</w:t>
            </w:r>
          </w:p>
        </w:tc>
        <w:tc>
          <w:tcPr>
            <w:tcW w:w="3940" w:type="dxa"/>
            <w:vAlign w:val="bottom"/>
          </w:tcPr>
          <w:p>
            <w:pPr>
              <w:spacing w:after="0"/>
              <w:rPr>
                <w:sz w:val="20"/>
                <w:szCs w:val="20"/>
                <w:color w:val="auto"/>
              </w:rPr>
            </w:pPr>
            <w:r>
              <w:rPr>
                <w:rFonts w:ascii="Arial" w:cs="Arial" w:eastAsia="Arial" w:hAnsi="Arial"/>
                <w:sz w:val="18"/>
                <w:szCs w:val="18"/>
                <w:color w:val="auto"/>
              </w:rPr>
              <w:t>Eric S. Yuan</w:t>
            </w:r>
          </w:p>
        </w:tc>
      </w:tr>
      <w:tr>
        <w:trPr>
          <w:trHeight w:val="229"/>
        </w:trPr>
        <w:tc>
          <w:tcPr>
            <w:tcW w:w="726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2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91"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20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CERTIFICATION OF CHIEF FINANCIAL OFFICER PURSUANT TO EXCHANGE ACT RULES 13a-14(a) AND 15d-14(a) AS ADOPTED PURSUANT TO SECTION 302 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Kelly Steckelberg, certify that:</w:t>
      </w:r>
    </w:p>
    <w:p>
      <w:pPr>
        <w:spacing w:after="0" w:line="185"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Zoom Video Communications, Inc.;</w:t>
      </w:r>
    </w:p>
    <w:p>
      <w:pPr>
        <w:spacing w:after="0" w:line="198"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jc w:val="both"/>
        <w:ind w:left="1300" w:right="240" w:hanging="644"/>
        <w:spacing w:after="0" w:line="291" w:lineRule="auto"/>
        <w:tabs>
          <w:tab w:leader="none" w:pos="1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83" w:lineRule="exact"/>
        <w:rPr>
          <w:rFonts w:ascii="Arial" w:cs="Arial" w:eastAsia="Arial" w:hAnsi="Arial"/>
          <w:sz w:val="16"/>
          <w:szCs w:val="16"/>
          <w:color w:val="auto"/>
        </w:rPr>
      </w:pPr>
    </w:p>
    <w:p>
      <w:pPr>
        <w:ind w:left="1960" w:right="80" w:hanging="656"/>
        <w:spacing w:after="0" w:line="286" w:lineRule="auto"/>
        <w:tabs>
          <w:tab w:leader="none" w:pos="1950"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Arial" w:cs="Arial" w:eastAsia="Arial" w:hAnsi="Arial"/>
          <w:sz w:val="17"/>
          <w:szCs w:val="17"/>
          <w:color w:val="auto"/>
        </w:rPr>
      </w:pPr>
    </w:p>
    <w:p>
      <w:pPr>
        <w:ind w:left="1960" w:right="220" w:hanging="656"/>
        <w:spacing w:after="0" w:line="286" w:lineRule="auto"/>
        <w:tabs>
          <w:tab w:leader="none" w:pos="1960" w:val="left"/>
        </w:tabs>
        <w:numPr>
          <w:ilvl w:val="1"/>
          <w:numId w:val="6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ind w:left="1960" w:right="320" w:hanging="656"/>
        <w:spacing w:after="0" w:line="311" w:lineRule="auto"/>
        <w:tabs>
          <w:tab w:leader="none" w:pos="196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rFonts w:ascii="Arial" w:cs="Arial" w:eastAsia="Arial" w:hAnsi="Arial"/>
          <w:sz w:val="18"/>
          <w:szCs w:val="18"/>
          <w:color w:val="auto"/>
        </w:rPr>
      </w:pPr>
    </w:p>
    <w:p>
      <w:pPr>
        <w:ind w:left="1960" w:right="80" w:hanging="656"/>
        <w:spacing w:after="0" w:line="263" w:lineRule="auto"/>
        <w:tabs>
          <w:tab w:leader="none" w:pos="195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8"/>
          <w:szCs w:val="18"/>
          <w:color w:val="auto"/>
        </w:rPr>
      </w:pPr>
    </w:p>
    <w:p>
      <w:pPr>
        <w:ind w:left="1960" w:right="80" w:hanging="656"/>
        <w:spacing w:after="0" w:line="277" w:lineRule="auto"/>
        <w:tabs>
          <w:tab w:leader="none" w:pos="19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ZOOM VIDEO COMMUNICATIONS, INC.</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240" w:type="dxa"/>
            <w:vAlign w:val="bottom"/>
          </w:tcPr>
          <w:p>
            <w:pPr>
              <w:ind w:left="672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Kelly Steckelberg</w:t>
            </w: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Date: March 18, 2021</w:t>
            </w:r>
          </w:p>
        </w:tc>
        <w:tc>
          <w:tcPr>
            <w:tcW w:w="3940" w:type="dxa"/>
            <w:vAlign w:val="bottom"/>
          </w:tcPr>
          <w:p>
            <w:pPr>
              <w:ind w:left="20"/>
              <w:spacing w:after="0"/>
              <w:rPr>
                <w:sz w:val="20"/>
                <w:szCs w:val="20"/>
                <w:color w:val="auto"/>
              </w:rPr>
            </w:pPr>
            <w:r>
              <w:rPr>
                <w:rFonts w:ascii="Arial" w:cs="Arial" w:eastAsia="Arial" w:hAnsi="Arial"/>
                <w:sz w:val="18"/>
                <w:szCs w:val="18"/>
                <w:color w:val="auto"/>
              </w:rPr>
              <w:t>Kelly Steckelberg</w:t>
            </w:r>
          </w:p>
        </w:tc>
      </w:tr>
      <w:tr>
        <w:trPr>
          <w:trHeight w:val="230"/>
        </w:trPr>
        <w:tc>
          <w:tcPr>
            <w:tcW w:w="724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724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066" w:right="339" w:bottom="1440" w:gutter="0" w:footer="0" w:header="0"/>
        </w:sectPr>
      </w:pPr>
    </w:p>
    <w:bookmarkStart w:id="121" w:name="page122"/>
    <w:bookmarkEnd w:id="12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AND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 Eric S. Yuan, certify, pursuant to 18 U.S.C. Section 1350, as adopted pursuant to Section 906 of the Sarbanes-Oxley Act of 2002, that the Annual Report on Form 10-K of Zoom Video Communications, Inc. for the fiscal year ended January 31, 2021 fully complies with the requirements of Section 13(a) or 15(d) of the Securities Exchange Act of 1934 and that information contained in such Annual Report on Form 10-K fairly presents, in all material respects, the financial condition and results of operations of Zoom Video Communications, Inc.</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6920" w:type="dxa"/>
            <w:vAlign w:val="bottom"/>
            <w:gridSpan w:val="2"/>
          </w:tcPr>
          <w:p>
            <w:pPr>
              <w:ind w:left="2560"/>
              <w:spacing w:after="0"/>
              <w:rPr>
                <w:sz w:val="20"/>
                <w:szCs w:val="20"/>
                <w:color w:val="auto"/>
              </w:rPr>
            </w:pPr>
            <w:r>
              <w:rPr>
                <w:rFonts w:ascii="Arial" w:cs="Arial" w:eastAsia="Arial" w:hAnsi="Arial"/>
                <w:sz w:val="18"/>
                <w:szCs w:val="18"/>
                <w:b w:val="1"/>
                <w:bCs w:val="1"/>
                <w:color w:val="auto"/>
              </w:rPr>
              <w:t>ZOOM VIDEO COMMUNICATIONS, INC.</w:t>
            </w:r>
          </w:p>
        </w:tc>
      </w:tr>
      <w:tr>
        <w:trPr>
          <w:trHeight w:val="459"/>
        </w:trPr>
        <w:tc>
          <w:tcPr>
            <w:tcW w:w="4160" w:type="dxa"/>
            <w:vAlign w:val="bottom"/>
          </w:tcPr>
          <w:p>
            <w:pPr>
              <w:spacing w:after="0"/>
              <w:rPr>
                <w:sz w:val="20"/>
                <w:szCs w:val="20"/>
                <w:color w:val="auto"/>
              </w:rPr>
            </w:pPr>
            <w:r>
              <w:rPr>
                <w:rFonts w:ascii="Arial" w:cs="Arial" w:eastAsia="Arial" w:hAnsi="Arial"/>
                <w:sz w:val="18"/>
                <w:szCs w:val="18"/>
                <w:color w:val="auto"/>
              </w:rPr>
              <w:t>Date: March 18, 2021</w:t>
            </w:r>
          </w:p>
        </w:tc>
        <w:tc>
          <w:tcPr>
            <w:tcW w:w="6920" w:type="dxa"/>
            <w:vAlign w:val="bottom"/>
            <w:gridSpan w:val="2"/>
          </w:tcPr>
          <w:p>
            <w:pPr>
              <w:ind w:left="2560"/>
              <w:spacing w:after="0"/>
              <w:rPr>
                <w:sz w:val="20"/>
                <w:szCs w:val="20"/>
                <w:color w:val="auto"/>
              </w:rPr>
            </w:pPr>
            <w:r>
              <w:rPr>
                <w:rFonts w:ascii="Arial" w:cs="Arial" w:eastAsia="Arial" w:hAnsi="Arial"/>
                <w:sz w:val="18"/>
                <w:szCs w:val="18"/>
                <w:color w:val="auto"/>
              </w:rPr>
              <w:t>By:  /s/ Eric S. Yuan</w:t>
            </w:r>
          </w:p>
        </w:tc>
      </w:tr>
      <w:tr>
        <w:trPr>
          <w:trHeight w:val="222"/>
        </w:trPr>
        <w:tc>
          <w:tcPr>
            <w:tcW w:w="41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Eric S. Yuan</w:t>
            </w:r>
          </w:p>
        </w:tc>
      </w:tr>
      <w:tr>
        <w:trPr>
          <w:trHeight w:val="229"/>
        </w:trPr>
        <w:tc>
          <w:tcPr>
            <w:tcW w:w="41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1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 Kelly Steckelberg, certify, pursuant to 18 U.S.C. Section 1350, as adopted pursuant to Section 906 of the Sarbanes-Oxley Act of 2002, that the Annual Report on Form 10-K of Zoom Video Communications, Inc. for the fiscal year ended January 31, 2021 fully complies with the requirements of Section 13(a) or 15(d) of the Securities Exchange Act of 1934 and that information contained in such Annual Report on Form 10-K fairly presents, in all material respects, the financial condition and results of operations of Zoom Video Communications, Inc.</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6920" w:type="dxa"/>
            <w:vAlign w:val="bottom"/>
            <w:gridSpan w:val="2"/>
          </w:tcPr>
          <w:p>
            <w:pPr>
              <w:ind w:left="2560"/>
              <w:spacing w:after="0"/>
              <w:rPr>
                <w:sz w:val="20"/>
                <w:szCs w:val="20"/>
                <w:color w:val="auto"/>
              </w:rPr>
            </w:pPr>
            <w:r>
              <w:rPr>
                <w:rFonts w:ascii="Arial" w:cs="Arial" w:eastAsia="Arial" w:hAnsi="Arial"/>
                <w:sz w:val="18"/>
                <w:szCs w:val="18"/>
                <w:b w:val="1"/>
                <w:bCs w:val="1"/>
                <w:color w:val="auto"/>
              </w:rPr>
              <w:t>ZOOM VIDEO COMMUNICATIONS, INC.</w:t>
            </w:r>
          </w:p>
        </w:tc>
      </w:tr>
      <w:tr>
        <w:trPr>
          <w:trHeight w:val="459"/>
        </w:trPr>
        <w:tc>
          <w:tcPr>
            <w:tcW w:w="4160" w:type="dxa"/>
            <w:vAlign w:val="bottom"/>
          </w:tcPr>
          <w:p>
            <w:pPr>
              <w:spacing w:after="0"/>
              <w:rPr>
                <w:sz w:val="20"/>
                <w:szCs w:val="20"/>
                <w:color w:val="auto"/>
              </w:rPr>
            </w:pPr>
            <w:r>
              <w:rPr>
                <w:rFonts w:ascii="Arial" w:cs="Arial" w:eastAsia="Arial" w:hAnsi="Arial"/>
                <w:sz w:val="18"/>
                <w:szCs w:val="18"/>
                <w:color w:val="auto"/>
              </w:rPr>
              <w:t>Date: March 18, 2021</w:t>
            </w:r>
          </w:p>
        </w:tc>
        <w:tc>
          <w:tcPr>
            <w:tcW w:w="6920" w:type="dxa"/>
            <w:vAlign w:val="bottom"/>
            <w:gridSpan w:val="2"/>
          </w:tcPr>
          <w:p>
            <w:pPr>
              <w:ind w:left="2560"/>
              <w:spacing w:after="0"/>
              <w:rPr>
                <w:sz w:val="20"/>
                <w:szCs w:val="20"/>
                <w:color w:val="auto"/>
              </w:rPr>
            </w:pPr>
            <w:r>
              <w:rPr>
                <w:rFonts w:ascii="Arial" w:cs="Arial" w:eastAsia="Arial" w:hAnsi="Arial"/>
                <w:sz w:val="18"/>
                <w:szCs w:val="18"/>
                <w:color w:val="auto"/>
              </w:rPr>
              <w:t>By:  /s/ Kelly Steckelberg</w:t>
            </w:r>
          </w:p>
        </w:tc>
      </w:tr>
      <w:tr>
        <w:trPr>
          <w:trHeight w:val="222"/>
        </w:trPr>
        <w:tc>
          <w:tcPr>
            <w:tcW w:w="41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Kelly Steckelberg</w:t>
            </w:r>
          </w:p>
        </w:tc>
      </w:tr>
      <w:tr>
        <w:trPr>
          <w:trHeight w:val="230"/>
        </w:trPr>
        <w:tc>
          <w:tcPr>
            <w:tcW w:w="416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41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3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accompanies the Form 10-K to which it relates, is not deemed filed with the Securities and Exchange Commission and is not to be incorporated by reference into any filing of Zoom Video Communications,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1)"/>
      <w:numFmt w:val="decimal"/>
      <w:start w:val="1"/>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1."/>
      <w:numFmt w:val="decimal"/>
      <w:start w:val="2"/>
    </w:lvl>
  </w:abstractNum>
  <w:abstractNum w:abstractNumId="24">
    <w:nsid w:val="542289EC"/>
    <w:multiLevelType w:val="hybridMultilevel"/>
    <w:lvl w:ilvl="0">
      <w:lvlJc w:val="left"/>
      <w:lvlText w:val="%1."/>
      <w:numFmt w:val="decimal"/>
      <w:start w:val="3"/>
    </w:lvl>
  </w:abstractNum>
  <w:abstractNum w:abstractNumId="25">
    <w:nsid w:val="6DE91B18"/>
    <w:multiLevelType w:val="hybridMultilevel"/>
    <w:lvl w:ilvl="0">
      <w:lvlJc w:val="left"/>
      <w:lvlText w:val="%1."/>
      <w:numFmt w:val="decimal"/>
      <w:start w:val="4"/>
    </w:lvl>
  </w:abstractNum>
  <w:abstractNum w:abstractNumId="26">
    <w:nsid w:val="38437FDB"/>
    <w:multiLevelType w:val="hybridMultilevel"/>
    <w:lvl w:ilvl="0">
      <w:lvlJc w:val="left"/>
      <w:lvlText w:val="%1."/>
      <w:numFmt w:val="decimal"/>
      <w:start w:val="5"/>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1:"/>
      <w:numFmt w:val="upperLetter"/>
      <w:start w:val="35"/>
    </w:lvl>
  </w:abstractNum>
  <w:abstractNum w:abstractNumId="30">
    <w:nsid w:val="579478FE"/>
    <w:multiLevelType w:val="hybridMultilevel"/>
    <w:lvl w:ilvl="0">
      <w:lvlJc w:val="left"/>
      <w:lvlText w:val="%1."/>
      <w:numFmt w:val="decimal"/>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2"/>
    </w:lvl>
  </w:abstractNum>
  <w:abstractNum w:abstractNumId="35">
    <w:nsid w:val="75C6C33A"/>
    <w:multiLevelType w:val="hybridMultilevel"/>
    <w:lvl w:ilvl="0">
      <w:lvlJc w:val="left"/>
      <w:lvlText w:val="%1."/>
      <w:numFmt w:val="decimal"/>
      <w:start w:val="3"/>
    </w:lvl>
  </w:abstractNum>
  <w:abstractNum w:abstractNumId="36">
    <w:nsid w:val="12E685FB"/>
    <w:multiLevelType w:val="hybridMultilevel"/>
    <w:lvl w:ilvl="0">
      <w:lvlJc w:val="left"/>
      <w:lvlText w:val="%1."/>
      <w:numFmt w:val="decimal"/>
      <w:start w:val="4"/>
    </w:lvl>
  </w:abstractNum>
  <w:abstractNum w:abstractNumId="37">
    <w:nsid w:val="70C6A529"/>
    <w:multiLevelType w:val="hybridMultilevel"/>
    <w:lvl w:ilvl="0">
      <w:lvlJc w:val="left"/>
      <w:lvlText w:val="%1."/>
      <w:numFmt w:val="decimal"/>
      <w:start w:val="5"/>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
      <w:numFmt w:val="bullet"/>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1."/>
      <w:numFmt w:val="decimal"/>
      <w:start w:val="11"/>
    </w:lvl>
  </w:abstractNum>
  <w:abstractNum w:abstractNumId="42">
    <w:nsid w:val="649BB77C"/>
    <w:multiLevelType w:val="hybridMultilevel"/>
    <w:lvl w:ilvl="0">
      <w:lvlJc w:val="left"/>
      <w:lvlText w:val="(%1)"/>
      <w:numFmt w:val="lowerLetter"/>
      <w:start w:val="1"/>
    </w:lvl>
  </w:abstractNum>
  <w:abstractNum w:abstractNumId="43">
    <w:nsid w:val="275AC794"/>
    <w:multiLevelType w:val="hybridMultilevel"/>
    <w:lvl w:ilvl="0">
      <w:lvlJc w:val="left"/>
      <w:lvlText w:val="#"/>
      <w:numFmt w:val="bullet"/>
      <w:start w:val="1"/>
    </w:lvl>
    <w:lvl w:ilvl="1">
      <w:lvlJc w:val="left"/>
      <w:lvlText w:val="%2"/>
      <w:numFmt w:val="decimal"/>
      <w:start w:val="104"/>
    </w:lvl>
  </w:abstractNum>
  <w:abstractNum w:abstractNumId="44">
    <w:nsid w:val="39386575"/>
    <w:multiLevelType w:val="hybridMultilevel"/>
    <w:lvl w:ilvl="0">
      <w:lvlJc w:val="left"/>
      <w:lvlText w:val="†"/>
      <w:numFmt w:val="bullet"/>
      <w:start w:val="1"/>
    </w:lvl>
  </w:abstractNum>
  <w:abstractNum w:abstractNumId="45">
    <w:nsid w:val="1CF10FD8"/>
    <w:multiLevelType w:val="hybridMultilevel"/>
    <w:lvl w:ilvl="0">
      <w:lvlJc w:val="left"/>
      <w:lvlText w:val="•"/>
      <w:numFmt w:val="bullet"/>
      <w:start w:val="1"/>
    </w:lvl>
  </w:abstractNum>
  <w:abstractNum w:abstractNumId="46">
    <w:nsid w:val="180115BE"/>
    <w:multiLevelType w:val="hybridMultilevel"/>
    <w:lvl w:ilvl="0">
      <w:lvlJc w:val="left"/>
      <w:lvlText w:val="(%1)"/>
      <w:numFmt w:val="lowerRoman"/>
      <w:start w:val="2"/>
    </w:lvl>
  </w:abstractNum>
  <w:abstractNum w:abstractNumId="47">
    <w:nsid w:val="235BA861"/>
    <w:multiLevelType w:val="hybridMultilevel"/>
    <w:lvl w:ilvl="0">
      <w:lvlJc w:val="left"/>
      <w:lvlText w:val="%1."/>
      <w:numFmt w:val="decimal"/>
      <w:start w:val="1"/>
    </w:lvl>
    <w:lvl w:ilvl="1">
      <w:lvlJc w:val="left"/>
      <w:lvlText w:val="%2."/>
      <w:numFmt w:val="lowerLetter"/>
      <w:start w:val="2"/>
    </w:lvl>
  </w:abstractNum>
  <w:abstractNum w:abstractNumId="48">
    <w:nsid w:val="47398C89"/>
    <w:multiLevelType w:val="hybridMultilevel"/>
    <w:lvl w:ilvl="0">
      <w:lvlJc w:val="left"/>
      <w:lvlText w:val="%1."/>
      <w:numFmt w:val="decimal"/>
      <w:start w:val="3"/>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1."/>
      <w:numFmt w:val="decimal"/>
      <w:start w:val="2"/>
    </w:lvl>
  </w:abstractNum>
  <w:abstractNum w:abstractNumId="51">
    <w:nsid w:val="741226BB"/>
    <w:multiLevelType w:val="hybridMultilevel"/>
    <w:lvl w:ilvl="0">
      <w:lvlJc w:val="left"/>
      <w:lvlText w:val="%1."/>
      <w:numFmt w:val="decimal"/>
      <w:start w:val="3"/>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2"/>
    </w:lvl>
  </w:abstractNum>
  <w:abstractNum w:abstractNumId="54">
    <w:nsid w:val="3F6AB60F"/>
    <w:multiLevelType w:val="hybridMultilevel"/>
    <w:lvl w:ilvl="0">
      <w:lvlJc w:val="left"/>
      <w:lvlText w:val="%1."/>
      <w:numFmt w:val="decimal"/>
      <w:start w:val="3"/>
    </w:lvl>
    <w:lvl w:ilvl="1">
      <w:lvlJc w:val="left"/>
      <w:lvlText w:val="(%2)"/>
      <w:numFmt w:val="lowerLetter"/>
      <w:start w:val="1"/>
    </w:lvl>
  </w:abstractNum>
  <w:abstractNum w:abstractNumId="55">
    <w:nsid w:val="61574095"/>
    <w:multiLevelType w:val="hybridMultilevel"/>
    <w:lvl w:ilvl="0">
      <w:lvlJc w:val="left"/>
      <w:lvlText w:val="(%1)"/>
      <w:numFmt w:val="lowerLetter"/>
      <w:start w:val="2"/>
    </w:lvl>
  </w:abstractNum>
  <w:abstractNum w:abstractNumId="56">
    <w:nsid w:val="7E0C57B1"/>
    <w:multiLevelType w:val="hybridMultilevel"/>
    <w:lvl w:ilvl="0">
      <w:lvlJc w:val="left"/>
      <w:lvlText w:val="(%1)"/>
      <w:numFmt w:val="lowerLetter"/>
      <w:start w:val="3"/>
    </w:lvl>
  </w:abstractNum>
  <w:abstractNum w:abstractNumId="57">
    <w:nsid w:val="77AE35EB"/>
    <w:multiLevelType w:val="hybridMultilevel"/>
    <w:lvl w:ilvl="0">
      <w:lvlJc w:val="left"/>
      <w:lvlText w:val="%1."/>
      <w:numFmt w:val="decimal"/>
      <w:start w:val="4"/>
    </w:lvl>
    <w:lvl w:ilvl="1">
      <w:lvlJc w:val="left"/>
      <w:lvlText w:val="(%2)"/>
      <w:numFmt w:val="lowerLetter"/>
      <w:start w:val="1"/>
    </w:lvl>
  </w:abstractNum>
  <w:abstractNum w:abstractNumId="58">
    <w:nsid w:val="579BE4F1"/>
    <w:multiLevelType w:val="hybridMultilevel"/>
    <w:lvl w:ilvl="0">
      <w:lvlJc w:val="left"/>
      <w:lvlText w:val="(%1)"/>
      <w:numFmt w:val="lowerLetter"/>
      <w:start w:val="2"/>
    </w:lvl>
  </w:abstractNum>
  <w:abstractNum w:abstractNumId="59">
    <w:nsid w:val="310C50B3"/>
    <w:multiLevelType w:val="hybridMultilevel"/>
    <w:lvl w:ilvl="0">
      <w:lvlJc w:val="left"/>
      <w:lvlText w:val="(%1)"/>
      <w:numFmt w:val="lowerLetter"/>
      <w:start w:val="3"/>
    </w:lvl>
  </w:abstractNum>
  <w:abstractNum w:abstractNumId="60">
    <w:nsid w:val="5FF87E05"/>
    <w:multiLevelType w:val="hybridMultilevel"/>
    <w:lvl w:ilvl="0">
      <w:lvlJc w:val="left"/>
      <w:lvlText w:val="(%1)"/>
      <w:numFmt w:val="lowerLetter"/>
      <w:start w:val="4"/>
    </w:lvl>
  </w:abstractNum>
  <w:abstractNum w:abstractNumId="61">
    <w:nsid w:val="2F305DEF"/>
    <w:multiLevelType w:val="hybridMultilevel"/>
    <w:lvl w:ilvl="0">
      <w:lvlJc w:val="left"/>
      <w:lvlText w:val="(%1)"/>
      <w:numFmt w:val="lowerLetter"/>
      <w:start w:val="5"/>
    </w:lvl>
  </w:abstractNum>
  <w:abstractNum w:abstractNumId="62">
    <w:nsid w:val="25A70BF7"/>
    <w:multiLevelType w:val="hybridMultilevel"/>
    <w:lvl w:ilvl="0">
      <w:lvlJc w:val="left"/>
      <w:lvlText w:val="%1."/>
      <w:numFmt w:val="decimal"/>
      <w:start w:val="5"/>
    </w:lvl>
  </w:abstractNum>
  <w:abstractNum w:abstractNumId="63">
    <w:nsid w:val="1DBABF00"/>
    <w:multiLevelType w:val="hybridMultilevel"/>
    <w:lvl w:ilvl="0">
      <w:lvlJc w:val="left"/>
      <w:lvlText w:val="%1."/>
      <w:numFmt w:val="decimal"/>
      <w:start w:val="6"/>
    </w:lvl>
    <w:lvl w:ilvl="1">
      <w:lvlJc w:val="left"/>
      <w:lvlText w:val="(%2)"/>
      <w:numFmt w:val="lowerLetter"/>
      <w:start w:val="1"/>
    </w:lvl>
  </w:abstractNum>
  <w:abstractNum w:abstractNumId="64">
    <w:nsid w:val="4AD084E9"/>
    <w:multiLevelType w:val="hybridMultilevel"/>
    <w:lvl w:ilvl="0">
      <w:lvlJc w:val="left"/>
      <w:lvlText w:val="(%1)"/>
      <w:numFmt w:val="lowerLetter"/>
      <w:start w:val="3"/>
    </w:lvl>
  </w:abstractNum>
  <w:abstractNum w:abstractNumId="65">
    <w:nsid w:val="1F48EAA1"/>
    <w:multiLevelType w:val="hybridMultilevel"/>
    <w:lvl w:ilvl="0">
      <w:lvlJc w:val="left"/>
      <w:lvlText w:val="(%1)"/>
      <w:numFmt w:val="lowerLetter"/>
      <w:start w:val="11"/>
    </w:lvl>
  </w:abstractNum>
  <w:abstractNum w:abstractNumId="66">
    <w:nsid w:val="1381823A"/>
    <w:multiLevelType w:val="hybridMultilevel"/>
    <w:lvl w:ilvl="0">
      <w:lvlJc w:val="left"/>
      <w:lvlText w:val="%1."/>
      <w:numFmt w:val="decimal"/>
      <w:start w:val="1"/>
    </w:lvl>
    <w:lvl w:ilvl="1">
      <w:lvlJc w:val="left"/>
      <w:lvlText w:val="%2."/>
      <w:numFmt w:val="lowerLetter"/>
      <w:start w:val="1"/>
    </w:lvl>
  </w:abstractNum>
  <w:abstractNum w:abstractNumId="67">
    <w:nsid w:val="5DB70AE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45"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jpeg"/><Relationship Id="rId167" Type="http://schemas.openxmlformats.org/officeDocument/2006/relationships/image" Target="media/image137.png"/><Relationship Id="rId124" Type="http://schemas.openxmlformats.org/officeDocument/2006/relationships/hyperlink" Target="http://www.sec.gov/Archives/edgar/data/1585521/000119312519115111/d736915dex31.htm" TargetMode="External"/><Relationship Id="rId125" Type="http://schemas.openxmlformats.org/officeDocument/2006/relationships/hyperlink" Target="http://www.sec.gov/Archives/edgar/data/1585521/000119312519099813/d642624dex34.htm" TargetMode="External"/><Relationship Id="rId126" Type="http://schemas.openxmlformats.org/officeDocument/2006/relationships/hyperlink" Target="http://www.sec.gov/Archives/edgar/data/1585521/000119312519099813/d642624dex41.htm" TargetMode="External"/><Relationship Id="rId127" Type="http://schemas.openxmlformats.org/officeDocument/2006/relationships/hyperlink" Target="http://www.sec.gov/Archives/edgar/data/1585521/000119312519083351/d642624dex42.htm" TargetMode="External"/><Relationship Id="rId128" Type="http://schemas.openxmlformats.org/officeDocument/2006/relationships/hyperlink" Target="http://www.sec.gov/Archives/edgar/data/1585521/000119312519083351/d642624dex101.htm" TargetMode="External"/><Relationship Id="rId129" Type="http://schemas.openxmlformats.org/officeDocument/2006/relationships/hyperlink" Target="http://www.sec.gov/Archives/edgar/data/1585521/000119312519099813/d642624dex102.htm" TargetMode="External"/><Relationship Id="rId130" Type="http://schemas.openxmlformats.org/officeDocument/2006/relationships/hyperlink" Target="https://www.sec.gov/Archives/edgar/data/1585521/000158552120000238/a20200731-10qxex103.htm" TargetMode="External"/><Relationship Id="rId131" Type="http://schemas.openxmlformats.org/officeDocument/2006/relationships/hyperlink" Target="https://www.sec.gov/Archives/edgar/data/1585521/000158552120000299/zm-20201031xex101.htm" TargetMode="External"/><Relationship Id="rId132" Type="http://schemas.openxmlformats.org/officeDocument/2006/relationships/hyperlink" Target="http://www.sec.gov/Archives/edgar/data/1585521/000119312519099813/d642624dex103.htm" TargetMode="External"/><Relationship Id="rId133" Type="http://schemas.openxmlformats.org/officeDocument/2006/relationships/hyperlink" Target="https://www.sec.gov/Archives/edgar/data/1585521/000119312519083351/d642624dex104.htm" TargetMode="External"/><Relationship Id="rId134" Type="http://schemas.openxmlformats.org/officeDocument/2006/relationships/hyperlink" Target="http://www.sec.gov/Archives/edgar/data/1585521/000158552119000020/exhibit102_2019eiprsuexe.htm" TargetMode="External"/><Relationship Id="rId135" Type="http://schemas.openxmlformats.org/officeDocument/2006/relationships/hyperlink" Target="http://www.sec.gov/Archives/edgar/data/1585521/000158552119000020/exhibit103_2019eiprsunon.htm" TargetMode="External"/><Relationship Id="rId136" Type="http://schemas.openxmlformats.org/officeDocument/2006/relationships/hyperlink" Target="http://www.sec.gov/Archives/edgar/data/1585521/000119312519083351/d642624dex105.htm" TargetMode="External"/><Relationship Id="rId137" Type="http://schemas.openxmlformats.org/officeDocument/2006/relationships/hyperlink" Target="http://www.sec.gov/Archives/edgar/data/1585521/000119312519083351/d642624dex106.htm" TargetMode="External"/><Relationship Id="rId138" Type="http://schemas.openxmlformats.org/officeDocument/2006/relationships/hyperlink" Target="http://www.sec.gov/Archives/edgar/data/1585521/000119312519083351/d642624dex107.htm" TargetMode="External"/><Relationship Id="rId139" Type="http://schemas.openxmlformats.org/officeDocument/2006/relationships/hyperlink" Target="http://www.sec.gov/Archives/edgar/data/1585521/000119312519083351/d642624dex108.htm" TargetMode="External"/><Relationship Id="rId140" Type="http://schemas.openxmlformats.org/officeDocument/2006/relationships/hyperlink" Target="http://www.sec.gov/Archives/edgar/data/1585521/000158552119000020/exhibit104_azusoffer.htm" TargetMode="External"/><Relationship Id="rId141" Type="http://schemas.openxmlformats.org/officeDocument/2006/relationships/hyperlink" Target="https://www.sec.gov/Archives/edgar/data/1585521/000158552120000238/zm20200731ex101.htm" TargetMode="External"/><Relationship Id="rId142" Type="http://schemas.openxmlformats.org/officeDocument/2006/relationships/hyperlink" Target="https://www.sec.gov/Archives/edgar/data/1585521/000158552120000238/zm-20200731x10qxex102.htm" TargetMode="External"/><Relationship Id="rId143" Type="http://schemas.openxmlformats.org/officeDocument/2006/relationships/hyperlink" Target="https://www.sec.gov/Archives/edgar/data/1585521/000119312519083351/d642624dex109.htm" TargetMode="External"/><Relationship Id="rId144" Type="http://schemas.openxmlformats.org/officeDocument/2006/relationships/hyperlink" Target="http://www.sec.gov/Archives/edgar/data/1585521/000158552119000020/exhibit105_lease4thamend.htm" TargetMode="External"/><Relationship Id="rId146" Type="http://schemas.openxmlformats.org/officeDocument/2006/relationships/hyperlink" Target="https://www.sec.gov/Archives/edgar/data/1585521/000158552120000154/zm-20200430xex101xexport.htm" TargetMode="External"/><Relationship Id="rId147" Type="http://schemas.openxmlformats.org/officeDocument/2006/relationships/hyperlink" Target="http://www.sec.gov/Archives/edgar/data/1585521/000119312519099813/d642624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2021-03-18T15:07:59Z</dcterms:created>
  <dcterms:modified xsi:type="dcterms:W3CDTF">2021-03-18T15:07:59Z</dcterms:modified>
</cp:coreProperties>
</file>